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right"/>
      </w:pPr>
      <w:r>
        <w:rPr>
          <w:rFonts w:ascii="Times New Roman" w:hAnsi="Times New Roman" w:eastAsia="Times New Roman"/>
          <w:b w:val="0"/>
          <w:sz w:val="24"/>
        </w:rPr>
        <w:t>Додаток 1</w:t>
      </w:r>
    </w:p>
    <w:p>
      <w:pPr>
        <w:spacing w:after="0" w:line="240" w:lineRule="auto"/>
      </w:pPr>
    </w:p>
    <w:p>
      <w:pPr>
        <w:spacing w:after="0" w:line="240" w:lineRule="auto"/>
        <w:jc w:val="center"/>
      </w:pPr>
      <w:r>
        <w:rPr>
          <w:rFonts w:ascii="Times New Roman" w:hAnsi="Times New Roman" w:eastAsia="Times New Roman"/>
          <w:b/>
          <w:sz w:val="24"/>
        </w:rPr>
        <w:t>ОПИС</w:t>
      </w:r>
    </w:p>
    <w:p>
      <w:pPr>
        <w:spacing w:after="0" w:line="240" w:lineRule="auto"/>
        <w:jc w:val="center"/>
      </w:pPr>
      <w:r>
        <w:rPr>
          <w:rFonts w:ascii="Times New Roman" w:hAnsi="Times New Roman" w:eastAsia="Times New Roman"/>
          <w:b/>
          <w:sz w:val="24"/>
        </w:rPr>
        <w:t>вакансії державної служби категорії «В» -</w:t>
        <w:br/>
        <w:t>головного спеціаліста відділу інструментально-лабораторного контролю - державного інспектора з охорони навколишнього природного середовища Південного округу (Запорізька та Херсонська області) Державної екологічної інспекції Південного округу (Запорізька та Херсонська області)</w:t>
      </w:r>
    </w:p>
    <w:p>
      <w:pPr>
        <w:spacing w:after="0" w:line="240" w:lineRule="auto"/>
      </w:pPr>
    </w:p>
    <w:tbl>
      <w:tblPr>
        <w:tblStyle w:val="TableGrid"/>
        <w:tblW w:type="auto" w:w="0"/>
        <w:jc w:val="center"/>
        <w:tblLayout w:type="autofit"/>
        <w:tblLook w:firstColumn="1" w:firstRow="1" w:lastColumn="0" w:lastRow="0" w:noHBand="0" w:noVBand="1" w:val="04A0"/>
      </w:tblPr>
      <w:tblGrid>
        <w:gridCol w:w="5103"/>
        <w:gridCol w:w="5103"/>
      </w:tblGrid>
      <w:tr>
        <w:tc>
          <w:tcPr>
            <w:tcW w:type="dxa" w:w="10206"/>
            <w:gridSpan w:val="2"/>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Загальні умови</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Назва та категорія посади, стосовно якої прийнято рішення про необхідність призначення</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Головний спеціаліст відділу інструментально-лабораторного контролю - державний інспектор з охорони навколишнього природного середовища Південного округу (Запорізька та Херсонська області)</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Посадові обов’язки</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Організовує та проводить у межах повноважень лабораторний аналіз стану забруднення земель у зонах безпосереднього впливу викидів і скидів підприємствами забруднюючих речовин, а також у разі виникнення аварій та надзвичайних ситуацій, військової агресії, військових, терористичних або інших злочинних дій шляхом відбору проб та виконання вимірювань показників складу і властивостей, у тому числі забруднюючих речовин у пробах ґрунтів.</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Проводить перевірку дотримання суб’єктами господарювання екологічних нормативів з питань використання та охорони земель.</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Виготовляє стандартні, титровані та робочі розчини, розчини хімічних реактивів, здійснює побудову градуювальних характеристик.</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Забезпечує проведення відбору проб та вимірювань з дотриманням вимог метрологічного законодавства, методик виконання вимірювань, нормативних документів і настанови з якості відділу; перевіряє правильність розрахунків виконаних вимірювань, за потреби здійснює запобіжні та коригувальні дії.</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Вносить відомості, обчислення та результати вимірювань до робочих журналів або форм документації, запроваджених у відділі; складає протоколи вимірювань та перевіряє їх правильність.</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Бере участь у проведенні внутрішнього аудиту, аналізує його результати та, за потреби, надає пропозиції начальнику відділу щодо проведення запобіжних і коригувальних дій.</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Відпрацьовує та впроваджує в практику роботи відділу нові метрологічно забезпечені методики інструментально-лабораторного контролю ґрунтів, нові засоби вимірювальної техніки та лабораторне обладнання.</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Забезпечує збереження матеріальних цінностей Інспекції, отриманих у користування для виконання службових обов’язків; веде облік своєї роботи та надає керівництву відділу звіти про свою діяльність.</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Веде комплектацію, облік, зберігання та використання документів, що утворюються в процесі діяльності, відповідно до Інструкції з діловодства та номенклатури справ.</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За дорученням безпосереднього керівництва відділу виконує інші обов’язки, передбачені законодавством та Положенням про відділ.</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Умови оплати праці</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Посадовий оклад 13 633 грн, надбавки, передбачені ст. 52 Закону України «Про державну службу», надбавка до посадового окладу за ранг відповідно до постанови Кабінету Міністрів України від 18 січня 2017 року № 15 «Питання оплати праці працівників державних органів» (із змінами);</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Інформація про строковість призначення на посаду</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за строковим трудовим договором на період воєнного стану</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Перелік документів, які необхідно надати для призначення на посаду державної служби на період дії воєнного стану</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1) заява про прийняття на роботу;</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2) особова картка встановленого зразка;</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3) документ, що посвідчує особу та підтверджує громадянство України;</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4) документ, що підтверджує наявність відповідного ступеня вищої освіти;</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5) документ, що підтверджує відомості про стаж роботи, стаж державної служби (за наявності), досвід роботи на відповідних посадах;</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6) документ, що підтверджує рівень володіння державною мовою (за наявності).</w:t>
            </w:r>
          </w:p>
        </w:tc>
      </w:tr>
      <w:tr>
        <w:tc>
          <w:tcPr>
            <w:tcW w:type="dxa" w:w="3402"/>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Додаткова інформація з питань призначення на посаду</w:t>
            </w:r>
          </w:p>
        </w:tc>
        <w:tc>
          <w:tcPr>
            <w:tcW w:type="dxa" w:w="6803"/>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тел. 0500550683</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2210kadry@ukr.net</w:t>
            </w:r>
          </w:p>
        </w:tc>
      </w:tr>
    </w:tbl>
    <w:p>
      <w:pPr>
        <w:spacing w:after="0" w:line="240" w:lineRule="auto"/>
      </w:pPr>
    </w:p>
    <w:tbl>
      <w:tblPr>
        <w:tblStyle w:val="TableGrid"/>
        <w:tblW w:type="auto" w:w="0"/>
        <w:jc w:val="center"/>
        <w:tblLayout w:type="autofit"/>
        <w:tblLook w:firstColumn="1" w:firstRow="1" w:lastColumn="0" w:lastRow="0" w:noHBand="0" w:noVBand="1" w:val="04A0"/>
      </w:tblPr>
      <w:tblGrid>
        <w:gridCol w:w="3402"/>
        <w:gridCol w:w="3402"/>
        <w:gridCol w:w="3402"/>
      </w:tblGrid>
      <w:tr>
        <w:tc>
          <w:tcPr>
            <w:tcW w:type="dxa" w:w="10206"/>
            <w:gridSpan w:val="3"/>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Кваліфікаційні вимоги</w:t>
            </w:r>
          </w:p>
        </w:tc>
      </w:tr>
      <w:tr>
        <w:tc>
          <w:tcPr>
            <w:tcW w:type="dxa" w:w="56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r>
          </w:p>
        </w:tc>
        <w:tc>
          <w:tcPr>
            <w:tcW w:type="dxa" w:w="2381"/>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Вимога</w:t>
            </w:r>
          </w:p>
        </w:tc>
        <w:tc>
          <w:tcPr>
            <w:tcW w:type="dxa" w:w="725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Компоненти вимоги</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1.</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Освіта</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вища освіта ступеню не нижче бакалавра, молодший бакалавр</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2.</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Досвід роботи</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не потребує</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3.</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Володіння державною мовою</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вільне володіння державною мовою</w:t>
            </w:r>
          </w:p>
        </w:tc>
      </w:tr>
    </w:tbl>
    <w:p>
      <w:pPr>
        <w:spacing w:after="0" w:line="240" w:lineRule="auto"/>
      </w:pPr>
    </w:p>
    <w:tbl>
      <w:tblPr>
        <w:tblStyle w:val="TableGrid"/>
        <w:tblW w:type="auto" w:w="0"/>
        <w:jc w:val="center"/>
        <w:tblLayout w:type="autofit"/>
        <w:tblLook w:firstColumn="1" w:firstRow="1" w:lastColumn="0" w:lastRow="0" w:noHBand="0" w:noVBand="1" w:val="04A0"/>
      </w:tblPr>
      <w:tblGrid>
        <w:gridCol w:w="3402"/>
        <w:gridCol w:w="3402"/>
        <w:gridCol w:w="3402"/>
      </w:tblGrid>
      <w:tr>
        <w:tc>
          <w:tcPr>
            <w:tcW w:type="dxa" w:w="10206"/>
            <w:gridSpan w:val="3"/>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Вимоги до компетентності</w:t>
            </w:r>
          </w:p>
        </w:tc>
      </w:tr>
      <w:tr>
        <w:tc>
          <w:tcPr>
            <w:tcW w:type="dxa" w:w="56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r>
          </w:p>
        </w:tc>
        <w:tc>
          <w:tcPr>
            <w:tcW w:type="dxa" w:w="2381"/>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Вимога</w:t>
            </w:r>
          </w:p>
        </w:tc>
        <w:tc>
          <w:tcPr>
            <w:tcW w:type="dxa" w:w="725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Компоненти вимоги</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1</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Ефективність координації з іншими</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 здатність налагоджувати зв’язки з іншими, в тому числі з використанням цифрових технологій;</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уміння конструктивного обміну інформацією, узгодження та упорядкування дій;</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здатність до об’єднання та систематизації спільних зусиль</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2</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Цифрова грамотність</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вміння використовувати сервіси інтернету для ефективного пошуку потрібної інформації;</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вміння перевіряти надійність джерел і достовірність даних та інформації у цифровому середовищі;</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здатність працювати з документами в різних цифрових форматах;</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здатність використовувати відкриті цифрові ресурси для власного професійного розвитку.</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3</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Відповідальність</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 усвідомлення важливості якісного виконання своїх посадових обов’язків з дотриманням строків та встановлених процедур;</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 здатність брати на себе зобов’язання, чітко їх дотримуватись і виконувати</w:t>
            </w:r>
          </w:p>
        </w:tc>
      </w:tr>
    </w:tbl>
    <w:p>
      <w:pPr>
        <w:spacing w:after="0" w:line="240" w:lineRule="auto"/>
      </w:pPr>
    </w:p>
    <w:tbl>
      <w:tblPr>
        <w:tblStyle w:val="TableGrid"/>
        <w:tblW w:type="auto" w:w="0"/>
        <w:jc w:val="center"/>
        <w:tblLayout w:type="autofit"/>
        <w:tblLook w:firstColumn="1" w:firstRow="1" w:lastColumn="0" w:lastRow="0" w:noHBand="0" w:noVBand="1" w:val="04A0"/>
      </w:tblPr>
      <w:tblGrid>
        <w:gridCol w:w="3402"/>
        <w:gridCol w:w="3402"/>
        <w:gridCol w:w="3402"/>
      </w:tblGrid>
      <w:tr>
        <w:tc>
          <w:tcPr>
            <w:tcW w:type="dxa" w:w="10206"/>
            <w:gridSpan w:val="3"/>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Професійні знання</w:t>
            </w:r>
          </w:p>
        </w:tc>
      </w:tr>
      <w:tr>
        <w:tc>
          <w:tcPr>
            <w:tcW w:type="dxa" w:w="56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r>
          </w:p>
        </w:tc>
        <w:tc>
          <w:tcPr>
            <w:tcW w:type="dxa" w:w="2381"/>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Вимога</w:t>
            </w:r>
          </w:p>
        </w:tc>
        <w:tc>
          <w:tcPr>
            <w:tcW w:type="dxa" w:w="7257"/>
            <w:vAlign w:val="top"/>
            <w:tcMar>
              <w:top w:w="80" w:type="dxa"/>
              <w:start w:w="80" w:type="dxa"/>
              <w:bottom w:w="80" w:type="dxa"/>
              <w:end w:w="80" w:type="dxa"/>
            </w:tcMar>
            <w:shd w:fill="D9D9D9"/>
          </w:tcPr>
          <w:p>
            <w:pPr>
              <w:spacing w:after="0" w:line="240" w:lineRule="auto"/>
              <w:jc w:val="center"/>
            </w:pPr>
            <w:r>
              <w:rPr>
                <w:rFonts w:ascii="Times New Roman" w:hAnsi="Times New Roman" w:eastAsia="Times New Roman"/>
                <w:b w:val="0"/>
                <w:sz w:val="24"/>
              </w:rPr>
            </w:r>
            <w:r>
              <w:rPr>
                <w:rFonts w:ascii="Times New Roman" w:hAnsi="Times New Roman" w:eastAsia="Times New Roman"/>
                <w:b/>
                <w:sz w:val="24"/>
              </w:rPr>
              <w:t>Компоненти вимоги</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1.</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Знання законодавства</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Знання: Конституції України; Закону України «Про державну службу»; Закону України «Про запобігання корупції» та іншого законодавства</w:t>
            </w:r>
          </w:p>
        </w:tc>
      </w:tr>
      <w:tr>
        <w:tc>
          <w:tcPr>
            <w:tcW w:type="dxa" w:w="567"/>
            <w:vAlign w:val="top"/>
            <w:tcMar>
              <w:top w:w="80" w:type="dxa"/>
              <w:start w:w="80" w:type="dxa"/>
              <w:bottom w:w="80" w:type="dxa"/>
              <w:end w:w="80" w:type="dxa"/>
            </w:tcMar>
          </w:tcPr>
          <w:p>
            <w:pPr>
              <w:spacing w:after="0" w:line="240" w:lineRule="auto"/>
              <w:jc w:val="center"/>
            </w:pPr>
            <w:r>
              <w:rPr>
                <w:rFonts w:ascii="Times New Roman" w:hAnsi="Times New Roman" w:eastAsia="Times New Roman"/>
                <w:b w:val="0"/>
                <w:sz w:val="24"/>
              </w:rPr>
            </w:r>
            <w:r>
              <w:rPr>
                <w:rFonts w:ascii="Times New Roman" w:hAnsi="Times New Roman" w:eastAsia="Times New Roman"/>
                <w:b w:val="0"/>
                <w:sz w:val="24"/>
              </w:rPr>
              <w:t>2.</w:t>
            </w:r>
          </w:p>
        </w:tc>
        <w:tc>
          <w:tcPr>
            <w:tcW w:type="dxa" w:w="2381"/>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Знання законодавства у сфері</w:t>
            </w:r>
          </w:p>
        </w:tc>
        <w:tc>
          <w:tcPr>
            <w:tcW w:type="dxa" w:w="7257"/>
            <w:vAlign w:val="top"/>
            <w:tcMar>
              <w:top w:w="80" w:type="dxa"/>
              <w:start w:w="80" w:type="dxa"/>
              <w:bottom w:w="80" w:type="dxa"/>
              <w:end w:w="80" w:type="dxa"/>
            </w:tcMar>
          </w:tcPr>
          <w:p>
            <w:pPr>
              <w:spacing w:after="0" w:line="240" w:lineRule="auto"/>
            </w:pPr>
            <w:r>
              <w:rPr>
                <w:rFonts w:ascii="Times New Roman" w:hAnsi="Times New Roman" w:eastAsia="Times New Roman"/>
                <w:b w:val="0"/>
                <w:sz w:val="24"/>
              </w:rPr>
            </w:r>
            <w:r>
              <w:rPr>
                <w:rFonts w:ascii="Times New Roman" w:hAnsi="Times New Roman" w:eastAsia="Times New Roman"/>
                <w:b w:val="0"/>
                <w:sz w:val="24"/>
              </w:rPr>
              <w:t>1) Земельний кодекс України;</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2) Кодекс України про адміністративні правопорушення;</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3) Закони України: «Про охорону навколишнього природного середовища»; «Про основні засади державного нагляду (контролю) у сфері господарської діяльності»; «Про охорону земель»; «Про державний контроль за використанням та охороною земель»; «Про землеустрій»; «Про метрологію та метрологічну діяльність»;</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4) Положення про Державну екологічну інспекцію України; положення про Державну екологічну інспекцію Південного округу (Запорізька та Херсонська області);</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5) нормативно-правові акти, методики та інші нормативні документи з питань відбору проб ґрунтів, виконання вимірювань показників складу і властивостей ґрунтів, оформлення результатів інструментально-лабораторного контролю;</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6) вимоги метрологічного забезпечення, настанови з якості відділу, правила ведення робочих журналів, складання протоколів вимірювань, зберігання та використання лабораторної документації;</w:t>
            </w:r>
          </w:p>
          <w:p>
            <w:pPr>
              <w:spacing w:after="0" w:line="240" w:lineRule="auto"/>
            </w:pPr>
            <w:r>
              <w:rPr>
                <w:rFonts w:ascii="Times New Roman" w:hAnsi="Times New Roman" w:eastAsia="Times New Roman"/>
                <w:b w:val="0"/>
                <w:sz w:val="24"/>
              </w:rPr>
            </w:r>
          </w:p>
          <w:p>
            <w:pPr>
              <w:spacing w:after="0" w:line="240" w:lineRule="auto"/>
            </w:pPr>
            <w:r>
              <w:rPr>
                <w:rFonts w:ascii="Times New Roman" w:hAnsi="Times New Roman" w:eastAsia="Times New Roman"/>
                <w:b w:val="0"/>
                <w:sz w:val="24"/>
              </w:rPr>
              <w:t>7) вимоги з охорони праці, пожежної безпеки та безпечного поводження з хімічними реактивами під час виконання лабораторних досліджень і робіт на об’єктах контролю.</w:t>
            </w:r>
          </w:p>
        </w:tc>
      </w:tr>
    </w:tbl>
    <w:sectPr w:rsidR="00FC693F" w:rsidRPr="0006063C" w:rsidSect="00034616">
      <w:pgSz w:w="11906" w:h="16838"/>
      <w:pgMar w:top="850" w:right="850" w:bottom="85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0" w:line="240" w:lineRule="auto"/>
    </w:pPr>
    <w:rPr>
      <w:rFonts w:ascii="Times New Roman" w:hAnsi="Times New Roman" w:eastAsia="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 вакансії державної служби категорії В</dc:title>
  <dc:subject/>
  <dc:creator/>
  <cp:keywords/>
  <dc:description>generated by python-docx</dc:description>
  <cp:lastModifiedBy/>
  <cp:revision>1</cp:revision>
  <dcterms:created xsi:type="dcterms:W3CDTF">2013-12-23T23:15:00Z</dcterms:created>
  <dcterms:modified xsi:type="dcterms:W3CDTF">2013-12-23T23:15:00Z</dcterms:modified>
  <cp:category/>
</cp:coreProperties>
</file>