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autoSpaceDE w:val="false"/>
        <w:ind w:hanging="0" w:left="6804" w:right="0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Style51"/>
        <w:widowControl/>
        <w:spacing w:lineRule="auto" w:line="240" w:after="0"/>
        <w:ind w:left="567" w:right="0"/>
        <w:jc w:val="center"/>
        <w:rPr>
          <w:b/>
          <w:lang w:val="uk-UA" w:eastAsia="uk-UA"/>
        </w:rPr>
      </w:pPr>
      <w:r>
        <w:rPr>
          <w:rFonts w:ascii="Times New Roman" w:hAnsi="Times New Roman"/>
          <w:b/>
          <w:sz w:val="24"/>
        </w:rPr>
        <w:t>ОПИС</w:t>
        <w:br/>
        <w:t>вакансії державної служби категорії «В» -</w:t>
      </w:r>
    </w:p>
    <w:p>
      <w:pPr>
        <w:pStyle w:val="Style19"/>
        <w:spacing w:before="0" w:after="0" w:line="240" w:lineRule="auto"/>
        <w:ind w:left="567" w:right="0"/>
        <w:jc w:val="center"/>
        <w:rPr>
          <w:b/>
          <w:lang w:val="uk-UA"/>
        </w:rPr>
      </w:pPr>
      <w:r>
        <w:rPr>
          <w:rFonts w:ascii="Times New Roman" w:hAnsi="Times New Roman"/>
          <w:b/>
          <w:sz w:val="24"/>
        </w:rPr>
        <w:t>Головний спеціаліст відділу інструментально-лабораторного контролю - державний інспектор з охорони навколишнього природного середовища Південного округу (Запорізька та Херсонська області)</w:t>
      </w:r>
    </w:p>
    <w:p>
      <w:pPr>
        <w:pStyle w:val="Heading"/>
        <w:ind w:left="567" w:right="0"/>
        <w:rPr>
          <w:rFonts w:ascii="Times New Roman" w:hAnsi="Times New Roman" w:cs="Times New Roman"/>
          <w:b/>
          <w:sz w:val="22"/>
          <w:szCs w:val="22"/>
          <w:lang w:val="uk-UA"/>
        </w:rPr>
      </w:pPr>
      <w:r>
        <w:rPr>
          <w:rFonts w:cs="Times New Roman" w:ascii="Times New Roman" w:hAnsi="Times New Roman"/>
          <w:b/>
          <w:sz w:val="22"/>
          <w:szCs w:val="22"/>
          <w:lang w:val="uk-UA"/>
        </w:rPr>
      </w:r>
    </w:p>
    <w:tbl>
      <w:tblPr>
        <w:tblW w:w="10065" w:type="dxa"/>
        <w:jc w:val="left"/>
        <w:tblInd w:w="724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25"/>
        <w:gridCol w:w="142"/>
        <w:gridCol w:w="1985"/>
        <w:gridCol w:w="567"/>
        <w:gridCol w:w="6946"/>
      </w:tblGrid>
      <w:tr>
        <w:trPr/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rvps12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Загальні умови</w:t>
            </w:r>
          </w:p>
        </w:tc>
      </w:tr>
      <w:tr>
        <w:trPr/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rvps14"/>
              <w:spacing w:before="0" w:after="0"/>
              <w:ind w:left="126" w:right="127"/>
              <w:rPr/>
            </w:pPr>
            <w:r>
              <w:rPr>
                <w:rFonts w:ascii="Times New Roman" w:hAnsi="Times New Roman"/>
                <w:sz w:val="22"/>
              </w:rPr>
              <w:t>Назва та категорія посади, стосовно якої прийнято рішення про необхідність призначення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after="0" w:line="240" w:lineRule="auto" w:before="0"/>
              <w:jc w:val="left"/>
            </w:pPr>
            <w:r>
              <w:rPr>
                <w:rFonts w:ascii="Times New Roman" w:hAnsi="Times New Roman"/>
                <w:sz w:val="22"/>
              </w:rPr>
              <w:t>Головний спеціаліст відділу інструментально-лабораторного контролю - державний інспектор з охорони навколишнього природного середовища Південного округу (Запорізька та Херсонська області)</w:t>
            </w:r>
          </w:p>
        </w:tc>
      </w:tr>
      <w:tr>
        <w:trPr>
          <w:trHeight w:val="6343" w:hRule="atLeast"/>
        </w:trPr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0" w:right="127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Посадові обов’язки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after="0" w:line="240" w:lineRule="auto" w:before="0"/>
              <w:ind w:firstLine="280" w:left="0"/>
              <w:jc w:val="both"/>
            </w:pPr>
            <w:r>
              <w:rPr>
                <w:rFonts w:ascii="Times New Roman" w:hAnsi="Times New Roman"/>
                <w:sz w:val="22"/>
              </w:rPr>
              <w:t>- організовує та проводить у межах повноважень відбирання проб зворотних і поверхневих вод під час здійснення планових та позапланових заходів державного нагляду (контролю), а також у разі виникнення аварій і надзвичайних ситуацій;</w:t>
            </w:r>
          </w:p>
          <w:p>
            <w:pPr>
              <w:spacing w:after="0" w:line="240" w:lineRule="auto" w:before="0"/>
              <w:ind w:firstLine="280" w:left="0"/>
              <w:jc w:val="both"/>
            </w:pPr>
            <w:r>
              <w:rPr>
                <w:rFonts w:ascii="Times New Roman" w:hAnsi="Times New Roman"/>
                <w:sz w:val="22"/>
              </w:rPr>
              <w:t>- виконує інструментально-лабораторні вимірювання показників складу та властивостей, у тому числі вмісту забруднюючих речовин, у пробах зворотних, поверхневих та підземних вод із спостережувальних свердловин;</w:t>
            </w:r>
          </w:p>
          <w:p>
            <w:pPr>
              <w:spacing w:after="0" w:line="240" w:lineRule="auto" w:before="0"/>
              <w:ind w:firstLine="280" w:left="0"/>
              <w:jc w:val="both"/>
            </w:pPr>
            <w:r>
              <w:rPr>
                <w:rFonts w:ascii="Times New Roman" w:hAnsi="Times New Roman"/>
                <w:sz w:val="22"/>
              </w:rPr>
              <w:t>- перевіряє дотримання суб’єктами господарювання нормативів гранично допустимого скидання забруднюючих речовин, вимог щодо якості й кількості зворотних вод та забруднюючих речовин, скинутих у водні об’єкти, а також якість води у контрольних створах;</w:t>
            </w:r>
          </w:p>
          <w:p>
            <w:pPr>
              <w:spacing w:after="0" w:line="240" w:lineRule="auto" w:before="0"/>
              <w:ind w:firstLine="280" w:left="0"/>
              <w:jc w:val="both"/>
            </w:pPr>
            <w:r>
              <w:rPr>
                <w:rFonts w:ascii="Times New Roman" w:hAnsi="Times New Roman"/>
                <w:sz w:val="22"/>
              </w:rPr>
              <w:t>- виготовляє стандартні, титровані та робочі розчини, розчини хімічних реактивів, здійснює побудову градуювальних характеристик;</w:t>
            </w:r>
          </w:p>
          <w:p>
            <w:pPr>
              <w:spacing w:after="0" w:line="240" w:lineRule="auto" w:before="0"/>
              <w:ind w:firstLine="280" w:left="0"/>
              <w:jc w:val="both"/>
            </w:pPr>
            <w:r>
              <w:rPr>
                <w:rFonts w:ascii="Times New Roman" w:hAnsi="Times New Roman"/>
                <w:sz w:val="22"/>
              </w:rPr>
              <w:t>- проводить вимірювання з дотриманням вимог метрологічного законодавства, методик виконання вимірювань, нормативних документів і настанови з якості відділу; перевіряє правильність розрахунків, веде робочі журнали, складає та перевіряє протоколи вимірювань;</w:t>
            </w:r>
          </w:p>
          <w:p>
            <w:pPr>
              <w:spacing w:after="0" w:line="240" w:lineRule="auto" w:before="0"/>
              <w:ind w:firstLine="280" w:left="0"/>
              <w:jc w:val="both"/>
            </w:pPr>
            <w:r>
              <w:rPr>
                <w:rFonts w:ascii="Times New Roman" w:hAnsi="Times New Roman"/>
                <w:sz w:val="22"/>
              </w:rPr>
              <w:t>- бере участь у проведенні внутрішніх аудитів, аналізує їх результати та за потреби надає начальнику відділу пропозиції щодо запобіжних і коригувальних дій;</w:t>
            </w:r>
          </w:p>
          <w:p>
            <w:pPr>
              <w:spacing w:after="0" w:line="240" w:lineRule="auto" w:before="0"/>
              <w:ind w:firstLine="280" w:left="0"/>
              <w:jc w:val="both"/>
            </w:pPr>
            <w:r>
              <w:rPr>
                <w:rFonts w:ascii="Times New Roman" w:hAnsi="Times New Roman"/>
                <w:sz w:val="22"/>
              </w:rPr>
              <w:t>- опрацьовує та впроваджує нові метрологічно забезпечені методики інструментально-лабораторного контролю вод, засоби вимірювальної техніки та лабораторне обладнання, забезпечує збереження отриманих у користування матеріальних цінностей;</w:t>
            </w:r>
          </w:p>
          <w:p>
            <w:pPr>
              <w:spacing w:after="0" w:line="240" w:lineRule="auto" w:before="0"/>
              <w:ind w:firstLine="280" w:left="0"/>
              <w:jc w:val="both"/>
            </w:pPr>
            <w:r>
              <w:rPr>
                <w:rFonts w:ascii="Times New Roman" w:hAnsi="Times New Roman"/>
                <w:sz w:val="22"/>
              </w:rPr>
              <w:t>- веде облік виконаної роботи та подає керівництву відділу звіти про свою діяльність;</w:t>
            </w:r>
          </w:p>
          <w:p>
            <w:pPr>
              <w:spacing w:after="0" w:line="240" w:lineRule="auto" w:before="0"/>
              <w:ind w:firstLine="280" w:left="0"/>
              <w:jc w:val="both"/>
            </w:pPr>
            <w:r>
              <w:rPr>
                <w:rFonts w:ascii="Times New Roman" w:hAnsi="Times New Roman"/>
                <w:sz w:val="22"/>
              </w:rPr>
              <w:t>- забезпечує комплектування, облік, зберігання і використання документів відповідно до Інструкції з діловодства та номенклатури справ;</w:t>
            </w:r>
          </w:p>
          <w:p>
            <w:pPr>
              <w:spacing w:after="0" w:line="240" w:lineRule="auto" w:before="0"/>
              <w:ind w:firstLine="280" w:left="0"/>
              <w:jc w:val="both"/>
            </w:pPr>
            <w:r>
              <w:rPr>
                <w:rFonts w:ascii="Times New Roman" w:hAnsi="Times New Roman"/>
                <w:sz w:val="22"/>
              </w:rPr>
              <w:t>- за дорученням безпосереднього керівника виконує інші обов’язки, передбачені законодавством та Положенням про відділ.</w:t>
            </w:r>
          </w:p>
        </w:tc>
      </w:tr>
      <w:tr>
        <w:trPr>
          <w:cantSplit/>
        </w:trPr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0" w:right="127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Умови оплати праці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 w:before="0"/>
              <w:ind w:firstLine="550"/>
              <w:jc w:val="both"/>
            </w:pPr>
            <w:r>
              <w:rPr>
                <w:rFonts w:ascii="Times New Roman" w:hAnsi="Times New Roman"/>
                <w:sz w:val="22"/>
              </w:rPr>
              <w:t>Посадовий оклад 13633 грн, надбавки, передбачені статтею 52 Закону України «Про державну службу», надбавка до посадового окладу за ранг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cantSplit/>
        </w:trPr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550" w:right="1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Інформація про строковість призначення на посаду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550" w:right="1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 строковим трудовим договором на період воєнного стану </w:t>
            </w:r>
          </w:p>
        </w:tc>
      </w:tr>
      <w:tr>
        <w:trPr>
          <w:cantSplit/>
        </w:trPr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550" w:right="1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Перелік документів, які необхідно надати для призначення на посаду державної служби на період дії воєнного стану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550" w:right="1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1) заява про прийняття на роботу;</w:t>
            </w:r>
          </w:p>
          <w:p>
            <w:pPr>
              <w:pStyle w:val="Normal"/>
              <w:ind w:firstLine="550" w:right="1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2) особова картка встановленого зразка;</w:t>
            </w:r>
          </w:p>
          <w:p>
            <w:pPr>
              <w:pStyle w:val="Normal"/>
              <w:ind w:firstLine="550" w:right="127"/>
              <w:rPr/>
            </w:pPr>
            <w:r>
              <w:rPr>
                <w:sz w:val="22"/>
                <w:szCs w:val="22"/>
              </w:rPr>
              <w:t>3) документ, що посвідчує особу та підтверджує громадянство України;</w:t>
            </w:r>
          </w:p>
          <w:p>
            <w:pPr>
              <w:pStyle w:val="Normal"/>
              <w:ind w:firstLine="550" w:right="1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4) документ, що підтверджує наявність відповідного ступеня вищої освіти;</w:t>
            </w:r>
          </w:p>
          <w:p>
            <w:pPr>
              <w:pStyle w:val="Normal"/>
              <w:ind w:firstLine="550" w:right="1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5) документ, що підтверджує відомості про стаж роботи, стаж державної служби (за наявності), досвід роботи на відповідних посадах;</w:t>
            </w:r>
          </w:p>
          <w:p>
            <w:pPr>
              <w:pStyle w:val="Normal"/>
              <w:ind w:firstLine="550" w:right="1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6) документ, що підтверджує рівень володіння державною мовою (за наявності).</w:t>
            </w:r>
          </w:p>
        </w:tc>
      </w:tr>
      <w:tr>
        <w:trPr>
          <w:cantSplit/>
        </w:trPr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rvps14"/>
              <w:spacing w:before="0" w:after="0"/>
              <w:ind w:left="116" w:right="0"/>
              <w:rPr/>
            </w:pPr>
            <w:r>
              <w:rPr/>
              <w:t>Додаткова інформація з питань призначення на посаду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rvps14"/>
              <w:tabs>
                <w:tab w:val="clear" w:pos="708"/>
                <w:tab w:val="left" w:pos="6789" w:leader="none"/>
              </w:tabs>
              <w:spacing w:before="0" w:after="0"/>
              <w:ind w:left="79" w:right="125"/>
              <w:rPr/>
            </w:pPr>
            <w:r>
              <w:rPr/>
              <w:t>тел.0500550683</w:t>
            </w:r>
          </w:p>
          <w:p>
            <w:pPr>
              <w:pStyle w:val="rvps14"/>
              <w:tabs>
                <w:tab w:val="clear" w:pos="708"/>
                <w:tab w:val="left" w:pos="6789" w:leader="none"/>
              </w:tabs>
              <w:spacing w:before="0" w:after="0"/>
              <w:ind w:left="79" w:right="125"/>
              <w:rPr/>
            </w:pPr>
            <w:r>
              <w:rPr/>
              <w:t>2210kadry@ukr.net</w:t>
            </w:r>
          </w:p>
        </w:tc>
      </w:tr>
      <w:tr>
        <w:trPr>
          <w:cantSplit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rvps12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Кваліфікаційні вимоги</w:t>
            </w:r>
          </w:p>
        </w:tc>
      </w:tr>
      <w:tr>
        <w:trPr>
          <w:cantSplit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rvps12"/>
              <w:spacing w:before="0" w:after="0"/>
              <w:ind w:right="-157"/>
              <w:jc w:val="center"/>
              <w:rPr/>
            </w:pPr>
            <w:r>
              <w:rPr>
                <w:rFonts w:ascii="Times New Roman" w:hAnsi="Times New Roman"/>
                <w:sz w:val="22"/>
              </w:rPr>
              <w:t>1.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rvps14"/>
              <w:spacing w:before="0" w:after="0"/>
              <w:ind w:left="127" w:right="-157"/>
              <w:rPr>
                <w:rStyle w:val="rvts0"/>
              </w:rPr>
            </w:pPr>
            <w:r>
              <w:rPr>
                <w:rFonts w:ascii="Times New Roman" w:hAnsi="Times New Roman"/>
                <w:sz w:val="22"/>
              </w:rPr>
              <w:t>Освіта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 w:before="0"/>
              <w:jc w:val="left"/>
            </w:pPr>
            <w:r>
              <w:rPr>
                <w:rFonts w:ascii="Times New Roman" w:hAnsi="Times New Roman"/>
                <w:sz w:val="22"/>
              </w:rPr>
              <w:t>вища освіта ступеня не нижче бакалавра або молодшого бакалавра</w:t>
            </w:r>
          </w:p>
        </w:tc>
      </w:tr>
      <w:tr>
        <w:trPr>
          <w:cantSplit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TML1"/>
              <w:ind w:right="-1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127" w:right="-157"/>
              <w:jc w:val="left"/>
              <w:rPr>
                <w:sz w:val="24"/>
              </w:rPr>
            </w:pPr>
            <w:r>
              <w:rPr>
                <w:sz w:val="24"/>
              </w:rPr>
              <w:t>Досвід роботи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right="117"/>
              <w:rPr>
                <w:sz w:val="24"/>
              </w:rPr>
            </w:pPr>
            <w:r>
              <w:rPr>
                <w:sz w:val="24"/>
                <w:shd w:fill="FFFFFF" w:val="clear"/>
              </w:rPr>
              <w:t>не потребує</w:t>
            </w:r>
          </w:p>
        </w:tc>
      </w:tr>
      <w:tr>
        <w:trPr>
          <w:cantSplit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rvps12"/>
              <w:spacing w:before="280" w:after="0"/>
              <w:ind w:right="-157"/>
              <w:jc w:val="center"/>
              <w:rPr/>
            </w:pPr>
            <w:r>
              <w:rPr/>
              <w:t>3.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rvps14"/>
              <w:spacing w:before="280" w:after="0"/>
              <w:ind w:left="127" w:right="-157"/>
              <w:rPr>
                <w:rStyle w:val="rvts0"/>
              </w:rPr>
            </w:pPr>
            <w:r>
              <w:rPr/>
              <w:t>Володіння державною мовою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rvps14"/>
              <w:spacing w:before="0" w:after="0"/>
              <w:ind w:left="127" w:right="117"/>
              <w:jc w:val="both"/>
              <w:rPr/>
            </w:pPr>
            <w:r>
              <w:rPr>
                <w:shd w:fill="FFFFFF" w:val="clear"/>
              </w:rPr>
              <w:t>вільне володіння державною мовою</w:t>
            </w:r>
          </w:p>
        </w:tc>
      </w:tr>
      <w:tr>
        <w:trPr>
          <w:cantSplit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rvps14"/>
              <w:spacing w:before="0" w:after="0"/>
              <w:jc w:val="center"/>
              <w:rPr/>
            </w:pPr>
            <w:r>
              <w:rPr>
                <w:rStyle w:val="rvts0"/>
                <w:b/>
              </w:rPr>
              <w:t>Вимоги до компетентності</w:t>
            </w:r>
          </w:p>
        </w:tc>
      </w:tr>
      <w:tr>
        <w:trPr>
          <w:cantSplit/>
        </w:trPr>
        <w:tc>
          <w:tcPr>
            <w:tcW w:w="31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rvps14"/>
              <w:spacing w:before="280" w:after="0"/>
              <w:jc w:val="center"/>
              <w:rPr/>
            </w:pPr>
            <w:r>
              <w:rPr>
                <w:rStyle w:val="rvts0"/>
              </w:rPr>
              <w:t>Вимога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rvps14"/>
              <w:spacing w:before="0" w:after="0"/>
              <w:jc w:val="center"/>
              <w:rPr/>
            </w:pPr>
            <w:r>
              <w:rPr>
                <w:rStyle w:val="rvts0"/>
              </w:rPr>
              <w:t>Компоненти вимоги</w:t>
            </w:r>
          </w:p>
        </w:tc>
      </w:tr>
      <w:tr>
        <w:trPr>
          <w:cantSplit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rvps12"/>
              <w:spacing w:before="280" w:after="0"/>
              <w:ind w:right="-157"/>
              <w:jc w:val="center"/>
              <w:rPr/>
            </w:pPr>
            <w:r>
              <w:rPr/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tabs>
                <w:tab w:val="clear" w:pos="708"/>
                <w:tab w:val="left" w:pos="2391" w:leader="none"/>
              </w:tabs>
              <w:ind w:left="127" w:right="1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Ефективність координації з іншими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3"/>
              <w:tabs>
                <w:tab w:val="clear" w:pos="708"/>
                <w:tab w:val="left" w:pos="176" w:leader="none"/>
              </w:tabs>
              <w:ind w:hanging="141" w:left="268" w:right="127"/>
              <w:jc w:val="both"/>
              <w:rPr>
                <w:b w:val="false"/>
                <w:sz w:val="22"/>
                <w:szCs w:val="22"/>
                <w:lang w:val="uk-UA"/>
              </w:rPr>
            </w:pPr>
            <w:r>
              <w:rPr>
                <w:b w:val="false"/>
                <w:sz w:val="22"/>
                <w:szCs w:val="22"/>
                <w:lang w:val="uk-UA"/>
              </w:rPr>
              <w:t>- здатність налагоджувати зв’язки з іншими, в тому числі з використанням цифрових технологій;</w:t>
            </w:r>
          </w:p>
          <w:p>
            <w:pPr>
              <w:pStyle w:val="Normal"/>
              <w:tabs>
                <w:tab w:val="clear" w:pos="708"/>
                <w:tab w:val="left" w:pos="176" w:leader="none"/>
              </w:tabs>
              <w:ind w:hanging="141" w:left="268" w:right="127"/>
              <w:rPr/>
            </w:pPr>
            <w:r>
              <w:rPr>
                <w:sz w:val="22"/>
                <w:szCs w:val="22"/>
              </w:rPr>
              <w:t>- уміння конструктивного обміну інформацією, узгодження та упорядкування дій;</w:t>
            </w:r>
          </w:p>
          <w:p>
            <w:pPr>
              <w:pStyle w:val="Normal"/>
              <w:tabs>
                <w:tab w:val="clear" w:pos="708"/>
                <w:tab w:val="left" w:pos="176" w:leader="none"/>
              </w:tabs>
              <w:ind w:hanging="141" w:left="268" w:right="127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- здатність до об’єднання та систематизації спільних зусиль</w:t>
            </w:r>
          </w:p>
        </w:tc>
      </w:tr>
      <w:tr>
        <w:trPr/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rvps12"/>
              <w:spacing w:before="280" w:after="0"/>
              <w:ind w:right="-157"/>
              <w:jc w:val="center"/>
              <w:rPr/>
            </w:pPr>
            <w:r>
              <w:rPr/>
              <w:t>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112" w:leader="none"/>
              </w:tabs>
              <w:ind w:hanging="0" w:left="127" w:right="552"/>
              <w:jc w:val="left"/>
              <w:rPr>
                <w:sz w:val="24"/>
              </w:rPr>
            </w:pPr>
            <w:r>
              <w:rPr>
                <w:sz w:val="24"/>
              </w:rPr>
              <w:t>Цифрова грамотність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144" w:right="127"/>
              <w:rPr/>
            </w:pPr>
            <w:r>
              <w:rPr>
                <w:sz w:val="22"/>
                <w:szCs w:val="22"/>
              </w:rPr>
              <w:t>- вміння використовувати комп’ютерні пристрої, базове офісне та спеціалізоване програмне забезпечення для ефективного виконання своїх посадових обов’язків;</w:t>
            </w:r>
          </w:p>
          <w:p>
            <w:pPr>
              <w:pStyle w:val="Normal"/>
              <w:ind w:hanging="0" w:left="144" w:right="1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вміння використовувати сервіси інтернету для ефективного пошуку потрібної інформації; </w:t>
            </w:r>
          </w:p>
          <w:p>
            <w:pPr>
              <w:pStyle w:val="Normal"/>
              <w:ind w:hanging="0" w:left="144" w:right="127"/>
              <w:rPr/>
            </w:pPr>
            <w:r>
              <w:rPr>
                <w:sz w:val="22"/>
                <w:szCs w:val="22"/>
              </w:rPr>
              <w:t>- вміння перевіряти надійність джерел і достовірність даних та інформації у цифровому середовищі;</w:t>
            </w:r>
          </w:p>
          <w:p>
            <w:pPr>
              <w:pStyle w:val="Normal"/>
              <w:ind w:hanging="0" w:left="144" w:right="127"/>
              <w:rPr/>
            </w:pPr>
            <w:r>
              <w:rPr>
                <w:sz w:val="22"/>
                <w:szCs w:val="22"/>
              </w:rPr>
              <w:t xml:space="preserve">- здатність працювати з документами в різних цифрових форматах; </w:t>
            </w:r>
          </w:p>
          <w:p>
            <w:pPr>
              <w:pStyle w:val="Normal"/>
              <w:ind w:hanging="0" w:left="144" w:right="127"/>
              <w:rPr/>
            </w:pPr>
            <w:r>
              <w:rPr>
                <w:sz w:val="22"/>
                <w:szCs w:val="22"/>
              </w:rPr>
              <w:t xml:space="preserve">- вміння використовувати електронні реєстри, системи електронного документообігу та інші електронні урядові системи для обміну інформацією, для електронного листування в рамках своїх посадових обов’язків; </w:t>
            </w:r>
          </w:p>
          <w:p>
            <w:pPr>
              <w:pStyle w:val="Normal"/>
              <w:ind w:hanging="0" w:left="144" w:right="127"/>
              <w:rPr/>
            </w:pPr>
            <w:r>
              <w:rPr>
                <w:sz w:val="22"/>
                <w:szCs w:val="22"/>
              </w:rPr>
              <w:t>- вміння використовувати спільні онлайн календарі, сервіси для підготовки та спільного редагування документів, вміти користуватись кваліфікованим електронним підписом (КЕП);</w:t>
            </w:r>
          </w:p>
          <w:p>
            <w:pPr>
              <w:pStyle w:val="Normal"/>
              <w:ind w:hanging="0" w:left="144" w:right="1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здатність використовувати відкриті цифрові ресурси для власного професійного розвитку. </w:t>
            </w:r>
          </w:p>
        </w:tc>
      </w:tr>
      <w:tr>
        <w:trPr>
          <w:cantSplit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rvps12"/>
              <w:spacing w:before="280" w:after="0"/>
              <w:ind w:right="-157"/>
              <w:jc w:val="center"/>
              <w:rPr/>
            </w:pPr>
            <w:r>
              <w:rPr/>
              <w:t>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550" w:right="1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Відповідальність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550" w:right="1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усвідомлення важливості якісного виконання своїх посадових обов’язків з дотриманням строків та встановлених процедур;</w:t>
            </w:r>
          </w:p>
          <w:p>
            <w:pPr>
              <w:pStyle w:val="Normal"/>
              <w:ind w:firstLine="550" w:right="127"/>
              <w:rPr/>
            </w:pPr>
            <w:r>
              <w:rPr>
                <w:sz w:val="22"/>
                <w:szCs w:val="22"/>
              </w:rPr>
              <w:t>- 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ind w:firstLine="550" w:right="1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здатність брати на себе зобов’язання, чітко їх дотримуватись і виконувати</w:t>
            </w:r>
          </w:p>
        </w:tc>
      </w:tr>
      <w:tr>
        <w:trPr>
          <w:cantSplit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550" w:right="127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Професійні знання</w:t>
            </w:r>
          </w:p>
        </w:tc>
      </w:tr>
      <w:tr>
        <w:trPr>
          <w:cantSplit/>
        </w:trPr>
        <w:tc>
          <w:tcPr>
            <w:tcW w:w="31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550" w:right="127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Вимога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550" w:right="127"/>
              <w:rPr/>
            </w:pPr>
            <w:r>
              <w:rPr>
                <w:b/>
                <w:sz w:val="22"/>
                <w:szCs w:val="22"/>
              </w:rPr>
              <w:t>Компоненти вимоги</w:t>
            </w:r>
          </w:p>
        </w:tc>
      </w:tr>
      <w:tr>
        <w:trPr>
          <w:cantSplit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rvps12"/>
              <w:spacing w:before="280" w:after="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1. 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550" w:right="1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Знання законодавства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550" w:right="127"/>
              <w:textAlignment w:val="baseline"/>
              <w:rPr/>
            </w:pPr>
            <w:r>
              <w:rPr>
                <w:sz w:val="22"/>
                <w:szCs w:val="22"/>
              </w:rPr>
              <w:t>Знання: Конституції України; Закону України «Про державну службу»; Закону України «Про запобігання корупції» та іншого законодавства</w:t>
            </w:r>
          </w:p>
        </w:tc>
      </w:tr>
      <w:tr>
        <w:trPr>
          <w:cantSplit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firstLine="550" w:right="127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firstLine="550" w:right="127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Знання законодавства у сфері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 w:before="0"/>
              <w:ind w:firstLine="550"/>
              <w:jc w:val="both"/>
            </w:pPr>
            <w:r>
              <w:rPr>
                <w:rFonts w:ascii="Times New Roman" w:hAnsi="Times New Roman"/>
                <w:sz w:val="22"/>
              </w:rPr>
              <w:t>Знання законодавства у сфері охорони навколишнього природного середовища, охорони, раціонального використання та відтворення водних ресурсів, державного нагляду (контролю), метрології та метрологічної діяльності; знання нормативних документів і методик виконання інструментально-лабораторних вимірювань.</w:t>
            </w:r>
          </w:p>
        </w:tc>
      </w:tr>
    </w:tbl>
    <w:p>
      <w:pPr>
        <w:pStyle w:val="Normal"/>
        <w:ind w:firstLine="550" w:right="127"/>
        <w:rPr>
          <w:sz w:val="22"/>
          <w:szCs w:val="22"/>
        </w:rPr>
      </w:pPr>
      <w:r>
        <w:rPr>
          <w:sz w:val="22"/>
          <w:szCs w:val="22"/>
        </w:rPr>
      </w:r>
    </w:p>
    <w:sectPr>
      <w:headerReference w:type="default" r:id="rId2"/>
      <w:headerReference w:type="first" r:id="rId3"/>
      <w:footerReference w:type="default" r:id="rId4"/>
      <w:footerReference w:type="first" r:id="rId5"/>
      <w:type w:val="nextPage"/>
      <w:pgSz w:w="11906" w:h="16838"/>
      <w:pgMar w:left="709" w:right="709" w:gutter="0" w:header="136" w:top="426" w:footer="40" w:bottom="284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imes New Roman">
    <w:charset w:val="cc"/>
    <w:family w:val="roman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Noto Sans Symbols">
    <w:charset w:val="00"/>
    <w:family w:val="auto"/>
    <w:pitch w:val="default"/>
  </w:font>
  <w:font w:name="Franklin Gothic Medium">
    <w:charset w:val="cc"/>
    <w:family w:val="swiss"/>
    <w:pitch w:val="variable"/>
  </w:font>
  <w:font w:name="Arial">
    <w:charset w:val="cc"/>
    <w:family w:val="swiss"/>
    <w:pitch w:val="variable"/>
  </w:font>
  <w:font w:name="Tahoma">
    <w:charset w:val="cc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swiss"/>
    <w:pitch w:val="variable"/>
  </w:font>
  <w:font w:name="Antiqua">
    <w:altName w:val="Courier New"/>
    <w:charset w:val="00"/>
    <w:family w:val="swiss"/>
    <w:pitch w:val="variable"/>
  </w:font>
  <w:font w:name="Verdana">
    <w:charset w:val="cc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sz w:val="20"/>
        <w:szCs w:val="20"/>
      </w:rPr>
    </w:pPr>
    <w:r>
      <w:rPr>
        <w:sz w:val="20"/>
        <w:szCs w:val="20"/>
      </w:rPr>
    </w:r>
  </w:p>
  <w:p>
    <w:pPr>
      <w:pStyle w:val="Footer"/>
      <w:rPr>
        <w:sz w:val="20"/>
        <w:szCs w:val="20"/>
      </w:rPr>
    </w:pPr>
    <w:r>
      <w:rPr>
        <w:sz w:val="20"/>
        <w:szCs w:val="20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3</w:t>
    </w:r>
    <w:r>
      <w:rPr>
        <w:sz w:val="20"/>
        <w:szCs w:val="20"/>
      </w:rPr>
      <w:fldChar w:fldCharType="end"/>
    </w:r>
  </w:p>
  <w:p>
    <w:pPr>
      <w:pStyle w:val="Header"/>
      <w:rPr>
        <w:sz w:val="20"/>
        <w:szCs w:val="20"/>
      </w:rPr>
    </w:pPr>
    <w:r>
      <w:rPr>
        <w:sz w:val="20"/>
        <w:szCs w:val="20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pStyle w:val="Heading6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hyphenationZone w:val="0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ind w:firstLine="709" w:left="0" w:right="0"/>
      <w:jc w:val="both"/>
    </w:pPr>
    <w:rPr>
      <w:rFonts w:ascii="Times New Roman" w:hAnsi="Times New Roman" w:eastAsia="Times New Roman" w:cs="Times New Roman"/>
      <w:color w:val="auto"/>
      <w:sz w:val="28"/>
      <w:szCs w:val="24"/>
      <w:lang w:val="uk-UA" w:bidi="ar-SA" w:eastAsia="zh-CN"/>
    </w:rPr>
  </w:style>
  <w:style w:type="paragraph" w:styleId="Heading6">
    <w:name w:val="heading 6"/>
    <w:basedOn w:val="Normal"/>
    <w:next w:val="BodyText"/>
    <w:qFormat/>
    <w:pPr>
      <w:numPr>
        <w:ilvl w:val="5"/>
        <w:numId w:val="1"/>
      </w:numPr>
      <w:spacing w:before="280" w:after="280"/>
      <w:ind w:hanging="0" w:left="0" w:right="0"/>
      <w:jc w:val="left"/>
      <w:outlineLvl w:val="5"/>
    </w:pPr>
    <w:rPr>
      <w:b/>
      <w:bCs/>
      <w:sz w:val="15"/>
      <w:szCs w:val="15"/>
      <w:lang w:val="en-US"/>
    </w:rPr>
  </w:style>
  <w:style w:type="character" w:styleId="WW8Num1z0">
    <w:name w:val="WW8Num1z0"/>
    <w:qFormat/>
    <w:rPr>
      <w:rFonts w:ascii="Times New Roman" w:hAnsi="Times New Roman" w:eastAsia="Times New Roman" w:cs="Times New Roman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2z0">
    <w:name w:val="WW8Num2z0"/>
    <w:qFormat/>
    <w:rPr>
      <w:rFonts w:ascii="Times New Roman" w:hAnsi="Times New Roman" w:eastAsia="Times New Roman" w:cs="Times New Roman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Times New Roman" w:hAnsi="Times New Roman" w:eastAsia="Times New Roman" w:cs="Times New Roman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Times New Roman" w:hAnsi="Times New Roman" w:eastAsia="Times New Roman" w:cs="Times New Roman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>
      <w:rFonts w:ascii="Times New Roman" w:hAnsi="Times New Roman" w:cs="Times New Roman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eastAsia="Times New Roman" w:cs="Times New Roman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6z3">
    <w:name w:val="WW8Num6z3"/>
    <w:qFormat/>
    <w:rPr>
      <w:rFonts w:ascii="Symbol" w:hAnsi="Symbol" w:cs="Symbol"/>
    </w:rPr>
  </w:style>
  <w:style w:type="character" w:styleId="WW8Num7z0">
    <w:name w:val="WW8Num7z0"/>
    <w:qFormat/>
    <w:rPr>
      <w:rFonts w:ascii="Times New Roman" w:hAnsi="Times New Roman" w:eastAsia="Times New Roman" w:cs="Times New Roman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WW8Num7z3">
    <w:name w:val="WW8Num7z3"/>
    <w:qFormat/>
    <w:rPr>
      <w:rFonts w:ascii="Symbol" w:hAnsi="Symbol" w:cs="Symbol"/>
    </w:rPr>
  </w:style>
  <w:style w:type="character" w:styleId="WW8Num8z0">
    <w:name w:val="WW8Num8z0"/>
    <w:qFormat/>
    <w:rPr>
      <w:rFonts w:ascii="Times New Roman" w:hAnsi="Times New Roman" w:eastAsia="Times New Roman" w:cs="Times New Roman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2">
    <w:name w:val="WW8Num8z2"/>
    <w:qFormat/>
    <w:rPr>
      <w:rFonts w:ascii="Wingdings" w:hAnsi="Wingdings" w:cs="Wingdings"/>
    </w:rPr>
  </w:style>
  <w:style w:type="character" w:styleId="WW8Num8z3">
    <w:name w:val="WW8Num8z3"/>
    <w:qFormat/>
    <w:rPr>
      <w:rFonts w:ascii="Symbol" w:hAnsi="Symbol" w:cs="Symbol"/>
    </w:rPr>
  </w:style>
  <w:style w:type="character" w:styleId="WW8Num9z0">
    <w:name w:val="WW8Num9z0"/>
    <w:qFormat/>
    <w:rPr/>
  </w:style>
  <w:style w:type="character" w:styleId="WW8Num10z0">
    <w:name w:val="WW8Num10z0"/>
    <w:qFormat/>
    <w:rPr/>
  </w:style>
  <w:style w:type="character" w:styleId="WW8Num11z0">
    <w:name w:val="WW8Num11z0"/>
    <w:qFormat/>
    <w:rPr>
      <w:rFonts w:ascii="Symbol" w:hAnsi="Symbol" w:cs="Symbol"/>
      <w:sz w:val="20"/>
    </w:rPr>
  </w:style>
  <w:style w:type="character" w:styleId="WW8Num11z1">
    <w:name w:val="WW8Num11z1"/>
    <w:qFormat/>
    <w:rPr>
      <w:rFonts w:ascii="Courier New" w:hAnsi="Courier New" w:cs="Courier New"/>
      <w:sz w:val="20"/>
    </w:rPr>
  </w:style>
  <w:style w:type="character" w:styleId="WW8Num11z2">
    <w:name w:val="WW8Num11z2"/>
    <w:qFormat/>
    <w:rPr>
      <w:rFonts w:ascii="Wingdings" w:hAnsi="Wingdings" w:cs="Wingdings"/>
      <w:sz w:val="20"/>
    </w:rPr>
  </w:style>
  <w:style w:type="character" w:styleId="WW8Num12z0">
    <w:name w:val="WW8Num12z0"/>
    <w:qFormat/>
    <w:rPr>
      <w:rFonts w:ascii="Symbol" w:hAnsi="Symbol" w:cs="Symbol"/>
    </w:rPr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2z2">
    <w:name w:val="WW8Num12z2"/>
    <w:qFormat/>
    <w:rPr>
      <w:rFonts w:ascii="Wingdings" w:hAnsi="Wingdings" w:cs="Wingdings"/>
    </w:rPr>
  </w:style>
  <w:style w:type="character" w:styleId="WW8Num13z0">
    <w:name w:val="WW8Num13z0"/>
    <w:qFormat/>
    <w:rPr>
      <w:rFonts w:ascii="Times New Roman" w:hAnsi="Times New Roman" w:eastAsia="Times New Roman" w:cs="Times New Roman"/>
    </w:rPr>
  </w:style>
  <w:style w:type="character" w:styleId="WW8Num13z1">
    <w:name w:val="WW8Num13z1"/>
    <w:qFormat/>
    <w:rPr>
      <w:rFonts w:ascii="Courier New" w:hAnsi="Courier New" w:cs="Courier New"/>
    </w:rPr>
  </w:style>
  <w:style w:type="character" w:styleId="WW8Num13z2">
    <w:name w:val="WW8Num13z2"/>
    <w:qFormat/>
    <w:rPr>
      <w:rFonts w:ascii="Wingdings" w:hAnsi="Wingdings" w:cs="Wingdings"/>
    </w:rPr>
  </w:style>
  <w:style w:type="character" w:styleId="WW8Num13z3">
    <w:name w:val="WW8Num13z3"/>
    <w:qFormat/>
    <w:rPr>
      <w:rFonts w:ascii="Symbol" w:hAnsi="Symbol" w:cs="Symbol"/>
    </w:rPr>
  </w:style>
  <w:style w:type="character" w:styleId="WW8Num14z0">
    <w:name w:val="WW8Num14z0"/>
    <w:qFormat/>
    <w:rPr/>
  </w:style>
  <w:style w:type="character" w:styleId="WW8Num15z0">
    <w:name w:val="WW8Num15z0"/>
    <w:qFormat/>
    <w:rPr>
      <w:rFonts w:ascii="Times New Roman" w:hAnsi="Times New Roman" w:eastAsia="Times New Roman" w:cs="Times New Roman"/>
    </w:rPr>
  </w:style>
  <w:style w:type="character" w:styleId="WW8Num15z1">
    <w:name w:val="WW8Num15z1"/>
    <w:qFormat/>
    <w:rPr>
      <w:rFonts w:ascii="Courier New" w:hAnsi="Courier New" w:cs="Courier New"/>
    </w:rPr>
  </w:style>
  <w:style w:type="character" w:styleId="WW8Num15z2">
    <w:name w:val="WW8Num15z2"/>
    <w:qFormat/>
    <w:rPr>
      <w:rFonts w:ascii="Wingdings" w:hAnsi="Wingdings" w:cs="Wingdings"/>
    </w:rPr>
  </w:style>
  <w:style w:type="character" w:styleId="WW8Num15z3">
    <w:name w:val="WW8Num15z3"/>
    <w:qFormat/>
    <w:rPr>
      <w:rFonts w:ascii="Symbol" w:hAnsi="Symbol" w:cs="Symbol"/>
    </w:rPr>
  </w:style>
  <w:style w:type="character" w:styleId="WW8Num16z0">
    <w:name w:val="WW8Num16z0"/>
    <w:qFormat/>
    <w:rPr>
      <w:rFonts w:ascii="Times New Roman" w:hAnsi="Times New Roman" w:eastAsia="Times New Roman" w:cs="Times New Roman"/>
    </w:rPr>
  </w:style>
  <w:style w:type="character" w:styleId="WW8Num16z1">
    <w:name w:val="WW8Num16z1"/>
    <w:qFormat/>
    <w:rPr>
      <w:rFonts w:ascii="Courier New" w:hAnsi="Courier New" w:cs="Courier New"/>
    </w:rPr>
  </w:style>
  <w:style w:type="character" w:styleId="WW8Num16z2">
    <w:name w:val="WW8Num16z2"/>
    <w:qFormat/>
    <w:rPr>
      <w:rFonts w:ascii="Wingdings" w:hAnsi="Wingdings" w:cs="Wingdings"/>
    </w:rPr>
  </w:style>
  <w:style w:type="character" w:styleId="WW8Num16z3">
    <w:name w:val="WW8Num16z3"/>
    <w:qFormat/>
    <w:rPr>
      <w:rFonts w:ascii="Symbol" w:hAnsi="Symbol" w:cs="Symbol"/>
    </w:rPr>
  </w:style>
  <w:style w:type="character" w:styleId="WW8Num17z0">
    <w:name w:val="WW8Num17z0"/>
    <w:qFormat/>
    <w:rPr>
      <w:rFonts w:ascii="Times New Roman" w:hAnsi="Times New Roman" w:eastAsia="Times New Roman" w:cs="Times New Roman"/>
    </w:rPr>
  </w:style>
  <w:style w:type="character" w:styleId="WW8Num17z1">
    <w:name w:val="WW8Num17z1"/>
    <w:qFormat/>
    <w:rPr>
      <w:rFonts w:ascii="Courier New" w:hAnsi="Courier New" w:cs="Courier New"/>
    </w:rPr>
  </w:style>
  <w:style w:type="character" w:styleId="WW8Num17z2">
    <w:name w:val="WW8Num17z2"/>
    <w:qFormat/>
    <w:rPr>
      <w:rFonts w:ascii="Wingdings" w:hAnsi="Wingdings" w:cs="Wingdings"/>
    </w:rPr>
  </w:style>
  <w:style w:type="character" w:styleId="WW8Num17z3">
    <w:name w:val="WW8Num17z3"/>
    <w:qFormat/>
    <w:rPr>
      <w:rFonts w:ascii="Symbol" w:hAnsi="Symbol" w:cs="Symbol"/>
    </w:rPr>
  </w:style>
  <w:style w:type="character" w:styleId="WW8Num18z0">
    <w:name w:val="WW8Num18z0"/>
    <w:qFormat/>
    <w:rPr/>
  </w:style>
  <w:style w:type="character" w:styleId="WW8Num18z1">
    <w:name w:val="WW8Num18z1"/>
    <w:qFormat/>
    <w:rPr>
      <w:rFonts w:ascii="Courier New" w:hAnsi="Courier New" w:cs="Courier New"/>
    </w:rPr>
  </w:style>
  <w:style w:type="character" w:styleId="WW8Num18z2">
    <w:name w:val="WW8Num18z2"/>
    <w:qFormat/>
    <w:rPr>
      <w:rFonts w:ascii="Wingdings" w:hAnsi="Wingdings" w:cs="Wingdings"/>
    </w:rPr>
  </w:style>
  <w:style w:type="character" w:styleId="WW8Num18z3">
    <w:name w:val="WW8Num18z3"/>
    <w:qFormat/>
    <w:rPr>
      <w:rFonts w:ascii="Symbol" w:hAnsi="Symbol" w:cs="Symbol"/>
    </w:rPr>
  </w:style>
  <w:style w:type="character" w:styleId="WW8Num19z1">
    <w:name w:val="WW8Num19z1"/>
    <w:qFormat/>
    <w:rPr>
      <w:rFonts w:ascii="Courier New" w:hAnsi="Courier New" w:eastAsia="Courier New" w:cs="Courier New"/>
    </w:rPr>
  </w:style>
  <w:style w:type="character" w:styleId="WW8Num19z2">
    <w:name w:val="WW8Num19z2"/>
    <w:qFormat/>
    <w:rPr>
      <w:rFonts w:ascii="Noto Sans Symbols" w:hAnsi="Noto Sans Symbols" w:eastAsia="Noto Sans Symbols" w:cs="Noto Sans Symbols"/>
    </w:rPr>
  </w:style>
  <w:style w:type="character" w:styleId="WW8Num20z0">
    <w:name w:val="WW8Num20z0"/>
    <w:qFormat/>
    <w:rPr>
      <w:rFonts w:ascii="Times New Roman" w:hAnsi="Times New Roman" w:eastAsia="Times New Roman" w:cs="Times New Roman"/>
    </w:rPr>
  </w:style>
  <w:style w:type="character" w:styleId="WW8Num20z1">
    <w:name w:val="WW8Num20z1"/>
    <w:qFormat/>
    <w:rPr>
      <w:rFonts w:ascii="Courier New" w:hAnsi="Courier New" w:cs="Courier New"/>
    </w:rPr>
  </w:style>
  <w:style w:type="character" w:styleId="WW8Num20z2">
    <w:name w:val="WW8Num20z2"/>
    <w:qFormat/>
    <w:rPr>
      <w:rFonts w:ascii="Wingdings" w:hAnsi="Wingdings" w:cs="Wingdings"/>
    </w:rPr>
  </w:style>
  <w:style w:type="character" w:styleId="WW8Num20z3">
    <w:name w:val="WW8Num20z3"/>
    <w:qFormat/>
    <w:rPr>
      <w:rFonts w:ascii="Symbol" w:hAnsi="Symbol" w:cs="Symbol"/>
    </w:rPr>
  </w:style>
  <w:style w:type="character" w:styleId="WW8Num21z0">
    <w:name w:val="WW8Num21z0"/>
    <w:qFormat/>
    <w:rPr>
      <w:rFonts w:ascii="Times New Roman" w:hAnsi="Times New Roman" w:eastAsia="Times New Roman" w:cs="Times New Roman"/>
    </w:rPr>
  </w:style>
  <w:style w:type="character" w:styleId="WW8Num21z1">
    <w:name w:val="WW8Num21z1"/>
    <w:qFormat/>
    <w:rPr>
      <w:rFonts w:ascii="Courier New" w:hAnsi="Courier New" w:cs="Courier New"/>
    </w:rPr>
  </w:style>
  <w:style w:type="character" w:styleId="WW8Num21z2">
    <w:name w:val="WW8Num21z2"/>
    <w:qFormat/>
    <w:rPr>
      <w:rFonts w:ascii="Wingdings" w:hAnsi="Wingdings" w:cs="Wingdings"/>
    </w:rPr>
  </w:style>
  <w:style w:type="character" w:styleId="WW8Num21z3">
    <w:name w:val="WW8Num21z3"/>
    <w:qFormat/>
    <w:rPr>
      <w:rFonts w:ascii="Symbol" w:hAnsi="Symbol" w:cs="Symbol"/>
    </w:rPr>
  </w:style>
  <w:style w:type="character" w:styleId="WW8Num22z0">
    <w:name w:val="WW8Num22z0"/>
    <w:qFormat/>
    <w:rPr>
      <w:rFonts w:ascii="Times New Roman" w:hAnsi="Times New Roman" w:eastAsia="Times New Roman" w:cs="Times New Roman"/>
    </w:rPr>
  </w:style>
  <w:style w:type="character" w:styleId="WW8Num22z1">
    <w:name w:val="WW8Num22z1"/>
    <w:qFormat/>
    <w:rPr>
      <w:rFonts w:ascii="Courier New" w:hAnsi="Courier New" w:cs="Courier New"/>
    </w:rPr>
  </w:style>
  <w:style w:type="character" w:styleId="WW8Num22z2">
    <w:name w:val="WW8Num22z2"/>
    <w:qFormat/>
    <w:rPr>
      <w:rFonts w:ascii="Wingdings" w:hAnsi="Wingdings" w:cs="Wingdings"/>
    </w:rPr>
  </w:style>
  <w:style w:type="character" w:styleId="WW8Num22z3">
    <w:name w:val="WW8Num22z3"/>
    <w:qFormat/>
    <w:rPr>
      <w:rFonts w:ascii="Symbol" w:hAnsi="Symbol" w:cs="Symbol"/>
    </w:rPr>
  </w:style>
  <w:style w:type="character" w:styleId="WW8Num23z0">
    <w:name w:val="WW8Num23z0"/>
    <w:qFormat/>
    <w:rPr/>
  </w:style>
  <w:style w:type="character" w:styleId="WW8Num24z0">
    <w:name w:val="WW8Num24z0"/>
    <w:qFormat/>
    <w:rPr>
      <w:rFonts w:ascii="Times New Roman" w:hAnsi="Times New Roman" w:eastAsia="Times New Roman" w:cs="Times New Roman"/>
    </w:rPr>
  </w:style>
  <w:style w:type="character" w:styleId="WW8Num24z1">
    <w:name w:val="WW8Num24z1"/>
    <w:qFormat/>
    <w:rPr>
      <w:rFonts w:ascii="Courier New" w:hAnsi="Courier New" w:cs="Courier New"/>
    </w:rPr>
  </w:style>
  <w:style w:type="character" w:styleId="WW8Num24z2">
    <w:name w:val="WW8Num24z2"/>
    <w:qFormat/>
    <w:rPr>
      <w:rFonts w:ascii="Wingdings" w:hAnsi="Wingdings" w:cs="Wingdings"/>
    </w:rPr>
  </w:style>
  <w:style w:type="character" w:styleId="WW8Num24z3">
    <w:name w:val="WW8Num24z3"/>
    <w:qFormat/>
    <w:rPr>
      <w:rFonts w:ascii="Symbol" w:hAnsi="Symbol" w:cs="Symbol"/>
    </w:rPr>
  </w:style>
  <w:style w:type="character" w:styleId="WW8Num25z0">
    <w:name w:val="WW8Num25z0"/>
    <w:qFormat/>
    <w:rPr>
      <w:rFonts w:ascii="Times New Roman" w:hAnsi="Times New Roman" w:eastAsia="Times New Roman" w:cs="Times New Roman"/>
    </w:rPr>
  </w:style>
  <w:style w:type="character" w:styleId="WW8Num25z1">
    <w:name w:val="WW8Num25z1"/>
    <w:qFormat/>
    <w:rPr>
      <w:rFonts w:ascii="Courier New" w:hAnsi="Courier New" w:cs="Courier New"/>
    </w:rPr>
  </w:style>
  <w:style w:type="character" w:styleId="WW8Num25z2">
    <w:name w:val="WW8Num25z2"/>
    <w:qFormat/>
    <w:rPr>
      <w:rFonts w:ascii="Wingdings" w:hAnsi="Wingdings" w:cs="Wingdings"/>
    </w:rPr>
  </w:style>
  <w:style w:type="character" w:styleId="WW8Num25z3">
    <w:name w:val="WW8Num25z3"/>
    <w:qFormat/>
    <w:rPr>
      <w:rFonts w:ascii="Symbol" w:hAnsi="Symbol" w:cs="Symbol"/>
    </w:rPr>
  </w:style>
  <w:style w:type="character" w:styleId="WW8Num26z0">
    <w:name w:val="WW8Num26z0"/>
    <w:qFormat/>
    <w:rPr>
      <w:rFonts w:ascii="Times New Roman" w:hAnsi="Times New Roman" w:eastAsia="Times New Roman" w:cs="Times New Roman"/>
    </w:rPr>
  </w:style>
  <w:style w:type="character" w:styleId="WW8Num26z1">
    <w:name w:val="WW8Num26z1"/>
    <w:qFormat/>
    <w:rPr>
      <w:rFonts w:ascii="Courier New" w:hAnsi="Courier New" w:cs="Courier New"/>
    </w:rPr>
  </w:style>
  <w:style w:type="character" w:styleId="WW8Num26z2">
    <w:name w:val="WW8Num26z2"/>
    <w:qFormat/>
    <w:rPr>
      <w:rFonts w:ascii="Wingdings" w:hAnsi="Wingdings" w:cs="Wingdings"/>
    </w:rPr>
  </w:style>
  <w:style w:type="character" w:styleId="WW8Num26z3">
    <w:name w:val="WW8Num26z3"/>
    <w:qFormat/>
    <w:rPr>
      <w:rFonts w:ascii="Symbol" w:hAnsi="Symbol" w:cs="Symbol"/>
    </w:rPr>
  </w:style>
  <w:style w:type="character" w:styleId="WW8Num27z0">
    <w:name w:val="WW8Num27z0"/>
    <w:qFormat/>
    <w:rPr>
      <w:rFonts w:ascii="Times New Roman" w:hAnsi="Times New Roman" w:eastAsia="Times New Roman" w:cs="Times New Roman"/>
    </w:rPr>
  </w:style>
  <w:style w:type="character" w:styleId="WW8Num27z1">
    <w:name w:val="WW8Num27z1"/>
    <w:qFormat/>
    <w:rPr>
      <w:rFonts w:ascii="Courier New" w:hAnsi="Courier New" w:cs="Courier New"/>
    </w:rPr>
  </w:style>
  <w:style w:type="character" w:styleId="WW8Num27z2">
    <w:name w:val="WW8Num27z2"/>
    <w:qFormat/>
    <w:rPr>
      <w:rFonts w:ascii="Wingdings" w:hAnsi="Wingdings" w:cs="Wingdings"/>
    </w:rPr>
  </w:style>
  <w:style w:type="character" w:styleId="WW8Num27z3">
    <w:name w:val="WW8Num27z3"/>
    <w:qFormat/>
    <w:rPr>
      <w:rFonts w:ascii="Symbol" w:hAnsi="Symbol" w:cs="Symbol"/>
    </w:rPr>
  </w:style>
  <w:style w:type="character" w:styleId="WW8Num28z0">
    <w:name w:val="WW8Num28z0"/>
    <w:qFormat/>
    <w:rPr>
      <w:rFonts w:ascii="Times New Roman" w:hAnsi="Times New Roman" w:eastAsia="Times New Roman" w:cs="Times New Roman"/>
    </w:rPr>
  </w:style>
  <w:style w:type="character" w:styleId="WW8Num28z1">
    <w:name w:val="WW8Num28z1"/>
    <w:qFormat/>
    <w:rPr>
      <w:rFonts w:ascii="Courier New" w:hAnsi="Courier New" w:cs="Courier New"/>
    </w:rPr>
  </w:style>
  <w:style w:type="character" w:styleId="WW8Num28z2">
    <w:name w:val="WW8Num28z2"/>
    <w:qFormat/>
    <w:rPr>
      <w:rFonts w:ascii="Wingdings" w:hAnsi="Wingdings" w:cs="Wingdings"/>
    </w:rPr>
  </w:style>
  <w:style w:type="character" w:styleId="WW8Num28z3">
    <w:name w:val="WW8Num28z3"/>
    <w:qFormat/>
    <w:rPr>
      <w:rFonts w:ascii="Symbol" w:hAnsi="Symbol" w:cs="Symbol"/>
    </w:rPr>
  </w:style>
  <w:style w:type="character" w:styleId="WW8Num30z0">
    <w:name w:val="WW8Num30z0"/>
    <w:qFormat/>
    <w:rPr>
      <w:rFonts w:ascii="Times New Roman" w:hAnsi="Times New Roman" w:eastAsia="Times New Roman" w:cs="Times New Roman"/>
    </w:rPr>
  </w:style>
  <w:style w:type="character" w:styleId="WW8Num30z1">
    <w:name w:val="WW8Num30z1"/>
    <w:qFormat/>
    <w:rPr>
      <w:rFonts w:ascii="Courier New" w:hAnsi="Courier New" w:cs="Courier New"/>
    </w:rPr>
  </w:style>
  <w:style w:type="character" w:styleId="WW8Num30z2">
    <w:name w:val="WW8Num30z2"/>
    <w:qFormat/>
    <w:rPr>
      <w:rFonts w:ascii="Wingdings" w:hAnsi="Wingdings" w:cs="Wingdings"/>
    </w:rPr>
  </w:style>
  <w:style w:type="character" w:styleId="WW8Num30z3">
    <w:name w:val="WW8Num30z3"/>
    <w:qFormat/>
    <w:rPr>
      <w:rFonts w:ascii="Symbol" w:hAnsi="Symbol" w:cs="Symbol"/>
    </w:rPr>
  </w:style>
  <w:style w:type="character" w:styleId="WW8Num31z0">
    <w:name w:val="WW8Num31z0"/>
    <w:qFormat/>
    <w:rPr>
      <w:rFonts w:ascii="Times New Roman" w:hAnsi="Times New Roman" w:eastAsia="Times New Roman" w:cs="Times New Roman"/>
    </w:rPr>
  </w:style>
  <w:style w:type="character" w:styleId="WW8Num31z1">
    <w:name w:val="WW8Num31z1"/>
    <w:qFormat/>
    <w:rPr>
      <w:rFonts w:ascii="Courier New" w:hAnsi="Courier New" w:cs="Courier New"/>
    </w:rPr>
  </w:style>
  <w:style w:type="character" w:styleId="WW8Num31z2">
    <w:name w:val="WW8Num31z2"/>
    <w:qFormat/>
    <w:rPr>
      <w:rFonts w:ascii="Wingdings" w:hAnsi="Wingdings" w:cs="Wingdings"/>
    </w:rPr>
  </w:style>
  <w:style w:type="character" w:styleId="WW8Num31z3">
    <w:name w:val="WW8Num31z3"/>
    <w:qFormat/>
    <w:rPr>
      <w:rFonts w:ascii="Symbol" w:hAnsi="Symbol" w:cs="Symbol"/>
    </w:rPr>
  </w:style>
  <w:style w:type="character" w:styleId="WW8Num32z0">
    <w:name w:val="WW8Num32z0"/>
    <w:qFormat/>
    <w:rPr>
      <w:rFonts w:ascii="Times New Roman" w:hAnsi="Times New Roman" w:eastAsia="Times New Roman" w:cs="Times New Roman"/>
    </w:rPr>
  </w:style>
  <w:style w:type="character" w:styleId="WW8Num32z1">
    <w:name w:val="WW8Num32z1"/>
    <w:qFormat/>
    <w:rPr>
      <w:rFonts w:ascii="Courier New" w:hAnsi="Courier New" w:cs="Courier New"/>
    </w:rPr>
  </w:style>
  <w:style w:type="character" w:styleId="WW8Num32z2">
    <w:name w:val="WW8Num32z2"/>
    <w:qFormat/>
    <w:rPr>
      <w:rFonts w:ascii="Wingdings" w:hAnsi="Wingdings" w:cs="Wingdings"/>
    </w:rPr>
  </w:style>
  <w:style w:type="character" w:styleId="WW8Num32z3">
    <w:name w:val="WW8Num32z3"/>
    <w:qFormat/>
    <w:rPr>
      <w:rFonts w:ascii="Symbol" w:hAnsi="Symbol" w:cs="Symbol"/>
    </w:rPr>
  </w:style>
  <w:style w:type="character" w:styleId="WW8Num33z0">
    <w:name w:val="WW8Num33z0"/>
    <w:qFormat/>
    <w:rPr>
      <w:rFonts w:ascii="Times New Roman" w:hAnsi="Times New Roman" w:eastAsia="Times New Roman" w:cs="Times New Roman"/>
    </w:rPr>
  </w:style>
  <w:style w:type="character" w:styleId="WW8Num33z1">
    <w:name w:val="WW8Num33z1"/>
    <w:qFormat/>
    <w:rPr>
      <w:rFonts w:ascii="Courier New" w:hAnsi="Courier New" w:cs="Courier New"/>
    </w:rPr>
  </w:style>
  <w:style w:type="character" w:styleId="WW8Num33z2">
    <w:name w:val="WW8Num33z2"/>
    <w:qFormat/>
    <w:rPr>
      <w:rFonts w:ascii="Wingdings" w:hAnsi="Wingdings" w:cs="Wingdings"/>
    </w:rPr>
  </w:style>
  <w:style w:type="character" w:styleId="WW8Num33z3">
    <w:name w:val="WW8Num33z3"/>
    <w:qFormat/>
    <w:rPr>
      <w:rFonts w:ascii="Symbol" w:hAnsi="Symbol" w:cs="Symbol"/>
    </w:rPr>
  </w:style>
  <w:style w:type="character" w:styleId="WW8Num34z0">
    <w:name w:val="WW8Num34z0"/>
    <w:qFormat/>
    <w:rPr>
      <w:rFonts w:ascii="Times New Roman" w:hAnsi="Times New Roman" w:eastAsia="Times New Roman" w:cs="Times New Roman"/>
    </w:rPr>
  </w:style>
  <w:style w:type="character" w:styleId="WW8Num34z1">
    <w:name w:val="WW8Num34z1"/>
    <w:qFormat/>
    <w:rPr>
      <w:rFonts w:ascii="Courier New" w:hAnsi="Courier New" w:cs="Courier New"/>
    </w:rPr>
  </w:style>
  <w:style w:type="character" w:styleId="WW8Num34z2">
    <w:name w:val="WW8Num34z2"/>
    <w:qFormat/>
    <w:rPr>
      <w:rFonts w:ascii="Wingdings" w:hAnsi="Wingdings" w:cs="Wingdings"/>
    </w:rPr>
  </w:style>
  <w:style w:type="character" w:styleId="WW8Num34z3">
    <w:name w:val="WW8Num34z3"/>
    <w:qFormat/>
    <w:rPr>
      <w:rFonts w:ascii="Symbol" w:hAnsi="Symbol" w:cs="Symbol"/>
    </w:rPr>
  </w:style>
  <w:style w:type="character" w:styleId="Style13">
    <w:name w:val="Основной шрифт абзаца"/>
    <w:qFormat/>
    <w:rPr/>
  </w:style>
  <w:style w:type="character" w:styleId="Hyperlink">
    <w:name w:val="Hyperlink"/>
    <w:rPr>
      <w:color w:val="0000FF"/>
      <w:u w:val="single"/>
    </w:rPr>
  </w:style>
  <w:style w:type="character" w:styleId="rvts0">
    <w:name w:val="rvts0"/>
    <w:basedOn w:val="Style13"/>
    <w:qFormat/>
    <w:rPr/>
  </w:style>
  <w:style w:type="character" w:styleId="FontStyle31">
    <w:name w:val="Font Style31"/>
    <w:qFormat/>
    <w:rPr>
      <w:rFonts w:ascii="Franklin Gothic Medium" w:hAnsi="Franklin Gothic Medium" w:cs="Franklin Gothic Medium"/>
      <w:sz w:val="20"/>
      <w:szCs w:val="20"/>
    </w:rPr>
  </w:style>
  <w:style w:type="character" w:styleId="2">
    <w:name w:val="Основной текст (2)_"/>
    <w:qFormat/>
    <w:rPr>
      <w:sz w:val="28"/>
      <w:szCs w:val="28"/>
      <w:shd w:fill="FFFFFF" w:val="clear"/>
    </w:rPr>
  </w:style>
  <w:style w:type="character" w:styleId="21">
    <w:name w:val="Основной текст (2)"/>
    <w:qFormat/>
    <w:rPr>
      <w:color w:val="2F2C32"/>
      <w:sz w:val="28"/>
      <w:szCs w:val="28"/>
      <w:shd w:fill="FFFFFF" w:val="clear"/>
    </w:rPr>
  </w:style>
  <w:style w:type="character" w:styleId="26">
    <w:name w:val="Основной текст (2)6"/>
    <w:qFormat/>
    <w:rPr>
      <w:color w:val="47444A"/>
      <w:sz w:val="28"/>
      <w:szCs w:val="28"/>
      <w:shd w:fill="FFFFFF" w:val="clear"/>
    </w:rPr>
  </w:style>
  <w:style w:type="character" w:styleId="Style14">
    <w:name w:val="Основной текст с отступом Знак"/>
    <w:qFormat/>
    <w:rPr>
      <w:rFonts w:ascii="Times New Roman" w:hAnsi="Times New Roman" w:eastAsia="Times New Roman" w:cs="Times New Roman"/>
      <w:sz w:val="24"/>
      <w:szCs w:val="24"/>
      <w:lang w:val="uk-UA" w:eastAsia="zh-CN"/>
    </w:rPr>
  </w:style>
  <w:style w:type="character" w:styleId="apple-converted-space">
    <w:name w:val="apple-converted-space"/>
    <w:basedOn w:val="Style13"/>
    <w:qFormat/>
    <w:rPr/>
  </w:style>
  <w:style w:type="character" w:styleId="rvts15">
    <w:name w:val="rvts15"/>
    <w:basedOn w:val="Style13"/>
    <w:qFormat/>
    <w:rPr/>
  </w:style>
  <w:style w:type="character" w:styleId="rvts23">
    <w:name w:val="rvts23"/>
    <w:basedOn w:val="Style13"/>
    <w:qFormat/>
    <w:rPr/>
  </w:style>
  <w:style w:type="character" w:styleId="Style15">
    <w:name w:val="Верхний колонтитул Знак"/>
    <w:qFormat/>
    <w:rPr>
      <w:rFonts w:ascii="Times New Roman" w:hAnsi="Times New Roman" w:eastAsia="Times New Roman" w:cs="Times New Roman"/>
      <w:sz w:val="28"/>
      <w:szCs w:val="24"/>
      <w:lang w:val="uk-UA"/>
    </w:rPr>
  </w:style>
  <w:style w:type="character" w:styleId="Style16">
    <w:name w:val="Нижний колонтитул Знак"/>
    <w:qFormat/>
    <w:rPr>
      <w:rFonts w:ascii="Times New Roman" w:hAnsi="Times New Roman" w:eastAsia="Times New Roman" w:cs="Times New Roman"/>
      <w:sz w:val="28"/>
      <w:szCs w:val="24"/>
      <w:lang w:val="uk-UA"/>
    </w:rPr>
  </w:style>
  <w:style w:type="character" w:styleId="3">
    <w:name w:val="Основной текст с отступом 3 Знак"/>
    <w:qFormat/>
    <w:rPr>
      <w:rFonts w:ascii="Arial" w:hAnsi="Arial" w:eastAsia="Times New Roman" w:cs="Arial"/>
      <w:sz w:val="16"/>
      <w:szCs w:val="16"/>
      <w:lang w:val="en-US"/>
    </w:rPr>
  </w:style>
  <w:style w:type="character" w:styleId="Style17">
    <w:name w:val="Основной текст Знак"/>
    <w:qFormat/>
    <w:rPr>
      <w:rFonts w:ascii="Times New Roman" w:hAnsi="Times New Roman" w:eastAsia="Times New Roman" w:cs="Times New Roman"/>
      <w:sz w:val="28"/>
      <w:szCs w:val="24"/>
      <w:lang w:val="uk-UA"/>
    </w:rPr>
  </w:style>
  <w:style w:type="character" w:styleId="Style18">
    <w:name w:val="Заголовок Знак"/>
    <w:qFormat/>
    <w:rPr>
      <w:rFonts w:ascii="Tahoma" w:hAnsi="Tahoma" w:eastAsia="Times New Roman" w:cs="Tahoma"/>
      <w:sz w:val="24"/>
    </w:rPr>
  </w:style>
  <w:style w:type="character" w:styleId="FontStyle13">
    <w:name w:val="Font Style13"/>
    <w:qFormat/>
    <w:rPr>
      <w:rFonts w:ascii="Times New Roman" w:hAnsi="Times New Roman" w:cs="Times New Roman"/>
      <w:sz w:val="18"/>
      <w:szCs w:val="18"/>
    </w:rPr>
  </w:style>
  <w:style w:type="character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styleId="FontStyle39">
    <w:name w:val="Font Style39"/>
    <w:qFormat/>
    <w:rPr>
      <w:rFonts w:ascii="Times New Roman" w:hAnsi="Times New Roman" w:cs="Times New Roman"/>
      <w:b/>
      <w:bCs/>
      <w:sz w:val="18"/>
      <w:szCs w:val="18"/>
    </w:rPr>
  </w:style>
  <w:style w:type="character" w:styleId="FontStyle36">
    <w:name w:val="Font Style36"/>
    <w:qFormat/>
    <w:rPr>
      <w:rFonts w:ascii="Times New Roman" w:hAnsi="Times New Roman" w:cs="Times New Roman"/>
      <w:b/>
      <w:bCs/>
      <w:sz w:val="18"/>
      <w:szCs w:val="18"/>
    </w:rPr>
  </w:style>
  <w:style w:type="character" w:styleId="FontStyle37">
    <w:name w:val="Font Style37"/>
    <w:qFormat/>
    <w:rPr>
      <w:rFonts w:ascii="Times New Roman" w:hAnsi="Times New Roman" w:cs="Times New Roman"/>
      <w:sz w:val="18"/>
      <w:szCs w:val="18"/>
    </w:rPr>
  </w:style>
  <w:style w:type="character" w:styleId="HeaderChar">
    <w:name w:val="Header Char"/>
    <w:qFormat/>
    <w:rPr>
      <w:rFonts w:cs="Times New Roman"/>
      <w:sz w:val="28"/>
      <w:lang w:val="en-US"/>
    </w:rPr>
  </w:style>
  <w:style w:type="character" w:styleId="HTML">
    <w:name w:val="Стандартный HTML Знак"/>
    <w:qFormat/>
    <w:rPr>
      <w:rFonts w:ascii="Courier New" w:hAnsi="Courier New" w:eastAsia="Arial Unicode MS" w:cs="Courier New"/>
      <w:color w:val="000000"/>
      <w:sz w:val="21"/>
      <w:szCs w:val="21"/>
      <w:lang w:val="ru-RU"/>
    </w:rPr>
  </w:style>
  <w:style w:type="character" w:styleId="Strong">
    <w:name w:val="Strong"/>
    <w:qFormat/>
    <w:rPr>
      <w:b/>
      <w:bCs/>
    </w:rPr>
  </w:style>
  <w:style w:type="character" w:styleId="6">
    <w:name w:val="Заголовок 6 Знак"/>
    <w:qFormat/>
    <w:rPr>
      <w:rFonts w:ascii="Times New Roman" w:hAnsi="Times New Roman" w:eastAsia="Times New Roman" w:cs="Times New Roman"/>
      <w:b/>
      <w:bCs/>
      <w:sz w:val="15"/>
      <w:szCs w:val="15"/>
    </w:rPr>
  </w:style>
  <w:style w:type="character" w:styleId="rvts64">
    <w:name w:val="rvts64"/>
    <w:qFormat/>
    <w:rPr/>
  </w:style>
  <w:style w:type="character" w:styleId="rvts9">
    <w:name w:val="rvts9"/>
    <w:qFormat/>
    <w:rPr/>
  </w:style>
  <w:style w:type="character" w:styleId="22">
    <w:name w:val="Основной текст 2 Знак"/>
    <w:qFormat/>
    <w:rPr>
      <w:rFonts w:ascii="Liberation Serif" w:hAnsi="Liberation Serif" w:eastAsia="SimSun;宋体" w:cs="Mangal"/>
      <w:kern w:val="2"/>
      <w:sz w:val="28"/>
      <w:szCs w:val="24"/>
      <w:lang w:eastAsia="zh-CN" w:bidi="hi-IN"/>
    </w:rPr>
  </w:style>
  <w:style w:type="paragraph" w:styleId="Heading">
    <w:name w:val="Heading"/>
    <w:basedOn w:val="Normal"/>
    <w:next w:val="BodyText"/>
    <w:qFormat/>
    <w:pPr>
      <w:ind w:hanging="0" w:left="0" w:right="0"/>
      <w:jc w:val="center"/>
    </w:pPr>
    <w:rPr>
      <w:rFonts w:ascii="Tahoma" w:hAnsi="Tahoma" w:cs="Tahoma"/>
      <w:sz w:val="24"/>
      <w:szCs w:val="20"/>
      <w:lang w:val="en-US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rvps2">
    <w:name w:val="rvps2"/>
    <w:basedOn w:val="Normal"/>
    <w:qFormat/>
    <w:pPr>
      <w:spacing w:before="280" w:after="280"/>
      <w:ind w:hanging="0" w:left="0" w:right="0"/>
      <w:jc w:val="left"/>
    </w:pPr>
    <w:rPr>
      <w:sz w:val="24"/>
      <w:lang w:val="ru-RU"/>
    </w:rPr>
  </w:style>
  <w:style w:type="paragraph" w:styleId="rvps12">
    <w:name w:val="rvps12"/>
    <w:basedOn w:val="Normal"/>
    <w:qFormat/>
    <w:pPr>
      <w:spacing w:before="280" w:after="280"/>
      <w:ind w:hanging="0" w:left="0" w:right="0"/>
      <w:jc w:val="left"/>
    </w:pPr>
    <w:rPr>
      <w:sz w:val="24"/>
    </w:rPr>
  </w:style>
  <w:style w:type="paragraph" w:styleId="rvps14">
    <w:name w:val="rvps14"/>
    <w:basedOn w:val="Normal"/>
    <w:qFormat/>
    <w:pPr>
      <w:spacing w:before="280" w:after="280"/>
      <w:ind w:hanging="0" w:left="0" w:right="0"/>
      <w:jc w:val="left"/>
    </w:pPr>
    <w:rPr>
      <w:sz w:val="24"/>
    </w:rPr>
  </w:style>
  <w:style w:type="paragraph" w:styleId="Style51">
    <w:name w:val="Style5"/>
    <w:basedOn w:val="Normal"/>
    <w:qFormat/>
    <w:pPr>
      <w:widowControl w:val="false"/>
      <w:suppressAutoHyphens w:val="true"/>
      <w:autoSpaceDE w:val="false"/>
      <w:spacing w:lineRule="exact" w:line="254"/>
      <w:ind w:hanging="0" w:left="0" w:right="0"/>
      <w:jc w:val="center"/>
    </w:pPr>
    <w:rPr>
      <w:rFonts w:eastAsia="Andale Sans UI;Times New Roman"/>
      <w:kern w:val="2"/>
      <w:sz w:val="24"/>
      <w:lang w:val="ru-RU"/>
    </w:rPr>
  </w:style>
  <w:style w:type="paragraph" w:styleId="Style19">
    <w:name w:val="Обычный (Интернет)"/>
    <w:basedOn w:val="Normal"/>
    <w:qFormat/>
    <w:pPr>
      <w:widowControl w:val="false"/>
      <w:suppressAutoHyphens w:val="true"/>
      <w:spacing w:before="280" w:after="280"/>
      <w:ind w:hanging="0" w:left="0" w:right="0"/>
      <w:jc w:val="left"/>
    </w:pPr>
    <w:rPr>
      <w:rFonts w:eastAsia="Andale Sans UI;Times New Roman"/>
      <w:kern w:val="2"/>
      <w:sz w:val="24"/>
      <w:lang w:val="ru-RU"/>
    </w:rPr>
  </w:style>
  <w:style w:type="paragraph" w:styleId="211">
    <w:name w:val="Основной текст (2)1"/>
    <w:basedOn w:val="Normal"/>
    <w:qFormat/>
    <w:pPr>
      <w:widowControl w:val="false"/>
      <w:shd w:fill="FFFFFF" w:val="clear"/>
      <w:spacing w:lineRule="exact" w:line="320"/>
      <w:ind w:hanging="0" w:left="0" w:right="0"/>
    </w:pPr>
    <w:rPr>
      <w:rFonts w:ascii="Calibri" w:hAnsi="Calibri" w:eastAsia="Calibri" w:cs="Calibri"/>
      <w:szCs w:val="28"/>
      <w:lang w:val="en-US"/>
    </w:rPr>
  </w:style>
  <w:style w:type="paragraph" w:styleId="Style20">
    <w:name w:val="Абзац списка"/>
    <w:basedOn w:val="Normal"/>
    <w:qFormat/>
    <w:pPr>
      <w:spacing w:before="0" w:after="0"/>
      <w:ind w:firstLine="709" w:left="720" w:right="0"/>
      <w:contextualSpacing/>
    </w:pPr>
    <w:rPr/>
  </w:style>
  <w:style w:type="paragraph" w:styleId="BodyTextIndent">
    <w:name w:val="Body Text Indent"/>
    <w:basedOn w:val="Normal"/>
    <w:pPr>
      <w:widowControl w:val="false"/>
      <w:suppressAutoHyphens w:val="true"/>
      <w:autoSpaceDE w:val="false"/>
      <w:ind w:hanging="0" w:left="0" w:right="0"/>
      <w:jc w:val="left"/>
    </w:pPr>
    <w:rPr>
      <w:sz w:val="24"/>
      <w:lang w:eastAsia="zh-CN"/>
    </w:rPr>
  </w:style>
  <w:style w:type="paragraph" w:styleId="TableContents">
    <w:name w:val="Table Contents"/>
    <w:basedOn w:val="Normal"/>
    <w:qFormat/>
    <w:pPr>
      <w:widowControl w:val="false"/>
      <w:suppressLineNumbers/>
      <w:suppressAutoHyphens w:val="true"/>
      <w:ind w:hanging="0" w:left="0" w:right="0"/>
      <w:jc w:val="left"/>
    </w:pPr>
    <w:rPr>
      <w:rFonts w:eastAsia="Arial Unicode MS" w:cs="Arial Unicode MS"/>
      <w:kern w:val="2"/>
      <w:sz w:val="24"/>
      <w:lang w:bidi="hi-IN"/>
    </w:rPr>
  </w:style>
  <w:style w:type="paragraph" w:styleId="HeaderandFooter">
    <w:name w:val="Header and Footer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31">
    <w:name w:val="Основной текст с отступом 3"/>
    <w:basedOn w:val="Normal"/>
    <w:qFormat/>
    <w:pPr>
      <w:spacing w:before="0" w:after="120"/>
      <w:ind w:hanging="0" w:left="283" w:right="0"/>
      <w:jc w:val="left"/>
    </w:pPr>
    <w:rPr>
      <w:rFonts w:ascii="Arial" w:hAnsi="Arial" w:cs="Arial"/>
      <w:sz w:val="16"/>
      <w:szCs w:val="16"/>
      <w:lang w:val="en-US"/>
    </w:rPr>
  </w:style>
  <w:style w:type="paragraph" w:styleId="Style21">
    <w:name w:val="Без интервала"/>
    <w:qFormat/>
    <w:pPr>
      <w:widowControl/>
      <w:bidi w:val="0"/>
      <w:ind w:firstLine="709" w:left="0" w:right="0"/>
      <w:jc w:val="both"/>
    </w:pPr>
    <w:rPr>
      <w:rFonts w:ascii="Times New Roman" w:hAnsi="Times New Roman" w:eastAsia="Times New Roman" w:cs="Times New Roman"/>
      <w:color w:val="auto"/>
      <w:sz w:val="28"/>
      <w:szCs w:val="24"/>
      <w:lang w:val="uk-UA" w:bidi="ar-SA" w:eastAsia="zh-CN"/>
    </w:rPr>
  </w:style>
  <w:style w:type="paragraph" w:styleId="Style22">
    <w:name w:val="Нормальний текст"/>
    <w:basedOn w:val="Normal"/>
    <w:qFormat/>
    <w:pPr>
      <w:widowControl w:val="false"/>
      <w:suppressAutoHyphens w:val="true"/>
      <w:spacing w:before="120" w:after="0"/>
      <w:ind w:firstLine="567" w:left="0" w:right="0"/>
      <w:jc w:val="left"/>
    </w:pPr>
    <w:rPr>
      <w:rFonts w:ascii="Antiqua;Courier New" w:hAnsi="Antiqua;Courier New" w:eastAsia="Calibri" w:cs="Antiqua;Courier New"/>
      <w:kern w:val="2"/>
      <w:sz w:val="26"/>
      <w:szCs w:val="20"/>
      <w:lang w:eastAsia="zh-CN"/>
    </w:rPr>
  </w:style>
  <w:style w:type="paragraph" w:styleId="rvps7">
    <w:name w:val="rvps7"/>
    <w:basedOn w:val="Normal"/>
    <w:qFormat/>
    <w:pPr>
      <w:spacing w:before="280" w:after="280"/>
      <w:ind w:hanging="0" w:left="0" w:right="0"/>
      <w:jc w:val="left"/>
    </w:pPr>
    <w:rPr>
      <w:sz w:val="24"/>
    </w:rPr>
  </w:style>
  <w:style w:type="paragraph" w:styleId="ListParagraph">
    <w:name w:val="List Paragraph"/>
    <w:basedOn w:val="Normal"/>
    <w:qFormat/>
    <w:pPr>
      <w:spacing w:lineRule="auto" w:line="276" w:before="0" w:after="200"/>
      <w:ind w:hanging="0" w:left="720" w:right="0"/>
      <w:contextualSpacing/>
      <w:jc w:val="left"/>
    </w:pPr>
    <w:rPr>
      <w:rFonts w:ascii="Calibri" w:hAnsi="Calibri" w:cs="Calibri"/>
      <w:sz w:val="22"/>
      <w:szCs w:val="22"/>
    </w:rPr>
  </w:style>
  <w:style w:type="paragraph" w:styleId="NormalText">
    <w:name w:val="Normal Text"/>
    <w:basedOn w:val="Normal"/>
    <w:qFormat/>
    <w:pPr>
      <w:spacing w:before="120" w:after="0"/>
      <w:ind w:firstLine="567" w:left="0" w:right="0"/>
    </w:pPr>
    <w:rPr>
      <w:rFonts w:ascii="Antiqua;Courier New" w:hAnsi="Antiqua;Courier New" w:eastAsia="Calibri" w:cs="Antiqua;Courier New"/>
      <w:sz w:val="26"/>
    </w:rPr>
  </w:style>
  <w:style w:type="paragraph" w:styleId="Default">
    <w:name w:val="Default"/>
    <w:qFormat/>
    <w:pPr>
      <w:widowControl/>
      <w:autoSpaceDE w:val="false"/>
      <w:bidi w:val="0"/>
    </w:pPr>
    <w:rPr>
      <w:rFonts w:ascii="Times New Roman" w:hAnsi="Times New Roman" w:eastAsia="Times New Roman" w:cs="Times New Roman"/>
      <w:color w:val="000000"/>
      <w:sz w:val="24"/>
      <w:szCs w:val="24"/>
      <w:lang w:val="uk-UA" w:bidi="ar-SA" w:eastAsia="zh-CN"/>
    </w:rPr>
  </w:style>
  <w:style w:type="paragraph" w:styleId="Style23">
    <w:name w:val="Название объекта"/>
    <w:basedOn w:val="Normal"/>
    <w:next w:val="Normal"/>
    <w:qFormat/>
    <w:pPr>
      <w:ind w:hanging="0" w:left="0" w:right="0"/>
      <w:jc w:val="center"/>
    </w:pPr>
    <w:rPr>
      <w:b/>
      <w:bCs/>
      <w:sz w:val="24"/>
      <w:lang w:val="ru-RU"/>
    </w:rPr>
  </w:style>
  <w:style w:type="paragraph" w:styleId="HTML1">
    <w:name w:val="Стандартный HTML"/>
    <w:basedOn w:val="Normal"/>
    <w:qFormat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ind w:hanging="0" w:left="0" w:right="0"/>
      <w:jc w:val="left"/>
    </w:pPr>
    <w:rPr>
      <w:rFonts w:ascii="Courier New" w:hAnsi="Courier New" w:eastAsia="Arial Unicode MS" w:cs="Courier New"/>
      <w:color w:val="000000"/>
      <w:sz w:val="21"/>
      <w:szCs w:val="21"/>
      <w:lang w:val="ru-RU"/>
    </w:rPr>
  </w:style>
  <w:style w:type="paragraph" w:styleId="1">
    <w:name w:val="1"/>
    <w:basedOn w:val="Normal"/>
    <w:qFormat/>
    <w:pPr>
      <w:ind w:hanging="0" w:left="0" w:right="0"/>
      <w:jc w:val="left"/>
    </w:pPr>
    <w:rPr>
      <w:rFonts w:ascii="Verdana" w:hAnsi="Verdana" w:cs="Verdana"/>
      <w:sz w:val="20"/>
      <w:szCs w:val="20"/>
      <w:lang w:val="en-US"/>
    </w:rPr>
  </w:style>
  <w:style w:type="paragraph" w:styleId="11">
    <w:name w:val="Название объекта1"/>
    <w:basedOn w:val="Normal"/>
    <w:next w:val="Normal"/>
    <w:qFormat/>
    <w:pPr>
      <w:suppressAutoHyphens w:val="true"/>
      <w:ind w:hanging="0" w:left="0" w:right="0"/>
      <w:jc w:val="center"/>
    </w:pPr>
    <w:rPr>
      <w:b/>
      <w:bCs/>
      <w:sz w:val="24"/>
      <w:lang w:val="ru-RU"/>
    </w:rPr>
  </w:style>
  <w:style w:type="paragraph" w:styleId="a">
    <w:name w:val="a"/>
    <w:basedOn w:val="Normal"/>
    <w:qFormat/>
    <w:pPr>
      <w:spacing w:before="280" w:after="280"/>
      <w:ind w:hanging="0" w:left="0" w:right="0"/>
      <w:jc w:val="left"/>
    </w:pPr>
    <w:rPr>
      <w:sz w:val="24"/>
      <w:lang w:val="ru-RU"/>
    </w:rPr>
  </w:style>
  <w:style w:type="paragraph" w:styleId="Style121">
    <w:name w:val="Style12"/>
    <w:basedOn w:val="Normal"/>
    <w:qFormat/>
    <w:pPr>
      <w:widowControl w:val="false"/>
      <w:autoSpaceDE w:val="false"/>
      <w:spacing w:lineRule="exact" w:line="220"/>
      <w:ind w:hanging="238" w:left="0" w:right="0"/>
    </w:pPr>
    <w:rPr>
      <w:sz w:val="24"/>
      <w:lang w:val="ru-RU"/>
    </w:rPr>
  </w:style>
  <w:style w:type="paragraph" w:styleId="rvps17">
    <w:name w:val="rvps17"/>
    <w:basedOn w:val="Normal"/>
    <w:qFormat/>
    <w:pPr>
      <w:spacing w:before="280" w:after="280"/>
      <w:ind w:hanging="0" w:left="0" w:right="0"/>
      <w:jc w:val="left"/>
    </w:pPr>
    <w:rPr>
      <w:sz w:val="24"/>
    </w:rPr>
  </w:style>
  <w:style w:type="paragraph" w:styleId="rvps6">
    <w:name w:val="rvps6"/>
    <w:basedOn w:val="Normal"/>
    <w:qFormat/>
    <w:pPr>
      <w:spacing w:before="280" w:after="280"/>
      <w:ind w:hanging="0" w:left="0" w:right="0"/>
      <w:jc w:val="left"/>
    </w:pPr>
    <w:rPr>
      <w:sz w:val="24"/>
    </w:rPr>
  </w:style>
  <w:style w:type="paragraph" w:styleId="23">
    <w:name w:val="Основной текст 2"/>
    <w:basedOn w:val="Normal"/>
    <w:qFormat/>
    <w:pPr>
      <w:suppressAutoHyphens w:val="true"/>
      <w:ind w:hanging="0" w:left="0" w:right="0"/>
    </w:pPr>
    <w:rPr>
      <w:rFonts w:ascii="Liberation Serif" w:hAnsi="Liberation Serif" w:eastAsia="SimSun;宋体" w:cs="Mangal"/>
      <w:kern w:val="2"/>
      <w:lang w:eastAsia="zh-CN" w:bidi="hi-IN"/>
    </w:rPr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21">
    <w:name w:val="WW8Num21"/>
    <w:qFormat/>
  </w:style>
  <w:style w:type="numbering" w:styleId="WW8Num22">
    <w:name w:val="WW8Num22"/>
    <w:qFormat/>
  </w:style>
  <w:style w:type="numbering" w:styleId="WW8Num23">
    <w:name w:val="WW8Num23"/>
    <w:qFormat/>
  </w:style>
  <w:style w:type="numbering" w:styleId="WW8Num24">
    <w:name w:val="WW8Num24"/>
    <w:qFormat/>
  </w:style>
  <w:style w:type="numbering" w:styleId="WW8Num25">
    <w:name w:val="WW8Num25"/>
    <w:qFormat/>
  </w:style>
  <w:style w:type="numbering" w:styleId="WW8Num26">
    <w:name w:val="WW8Num26"/>
    <w:qFormat/>
  </w:style>
  <w:style w:type="numbering" w:styleId="WW8Num27">
    <w:name w:val="WW8Num27"/>
    <w:qFormat/>
  </w:style>
  <w:style w:type="numbering" w:styleId="WW8Num28">
    <w:name w:val="WW8Num28"/>
    <w:qFormat/>
  </w:style>
  <w:style w:type="numbering" w:styleId="WW8Num29">
    <w:name w:val="WW8Num29"/>
    <w:qFormat/>
  </w:style>
  <w:style w:type="numbering" w:styleId="WW8Num30">
    <w:name w:val="WW8Num30"/>
    <w:qFormat/>
  </w:style>
  <w:style w:type="numbering" w:styleId="WW8Num31">
    <w:name w:val="WW8Num31"/>
    <w:qFormat/>
  </w:style>
  <w:style w:type="numbering" w:styleId="WW8Num32">
    <w:name w:val="WW8Num32"/>
    <w:qFormat/>
  </w:style>
  <w:style w:type="numbering" w:styleId="WW8Num33">
    <w:name w:val="WW8Num33"/>
    <w:qFormat/>
  </w:style>
  <w:style w:type="numbering" w:styleId="WW8Num34">
    <w:name w:val="WW8Num34"/>
    <w:qFormat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LibreOffice/25.2.3.2$Linux_X86_64 LibreOffice_project/520$Build-2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2025-04-21T06:58:00Z</dcterms:created>
  <dc:creator>User</dc:creator>
  <dc:description>Оновлено відповідно до посадової інструкції; посадовий оклад 13633 грн.</dc:description>
  <cp:keywords>вакансія, державна служба, лабораторний контроль, водні ресурси</cp:keywords>
  <dc:language>en-US</dc:language>
  <cp:lastModifiedBy>User</cp:lastModifiedBy>
  <cp:lastPrinted>2021-03-15T16:29:00Z</cp:lastPrinted>
  <dcterms:modified xsi:type="dcterms:W3CDTF">2025-04-21T06:58:00Z</dcterms:modified>
  <cp:revision>2</cp:revision>
  <dc:subject>Вакансія державної служби категорії В</dc:subject>
  <dc:title>Опис вакансії головного спеціаліста відділу інструментально-лабораторного контролю</dc:title>
</cp:coreProperties>
</file>